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shd w:val="clear" w:color="auto" w:fill="FFFFFF"/>
        <w:spacing w:before="75" w:beforeAutospacing="0" w:after="75" w:afterAutospacing="0"/>
        <w:jc w:val="center"/>
        <w:rPr>
          <w:rFonts w:ascii="宋体" w:hAnsi="宋体" w:eastAsia="宋体" w:cs="宋体"/>
          <w:color w:val="auto"/>
          <w:sz w:val="19"/>
          <w:szCs w:val="19"/>
          <w:highlight w:val="none"/>
        </w:rPr>
      </w:pPr>
      <w:r>
        <w:rPr>
          <w:rStyle w:val="20"/>
          <w:rFonts w:hint="eastAsia" w:ascii="宋体" w:hAnsi="宋体" w:eastAsia="宋体" w:cs="宋体"/>
          <w:color w:val="auto"/>
          <w:sz w:val="72"/>
          <w:szCs w:val="72"/>
          <w:highlight w:val="none"/>
          <w:shd w:val="clear" w:color="auto" w:fill="FFFFFF"/>
        </w:rPr>
        <w:t>福建省政府采购</w:t>
      </w:r>
    </w:p>
    <w:p>
      <w:pPr>
        <w:pStyle w:val="14"/>
        <w:widowControl/>
        <w:shd w:val="clear" w:color="auto" w:fill="FFFFFF"/>
        <w:spacing w:before="75" w:beforeAutospacing="0" w:after="75" w:afterAutospacing="0"/>
        <w:jc w:val="center"/>
        <w:rPr>
          <w:rFonts w:ascii="宋体" w:hAnsi="宋体" w:eastAsia="宋体" w:cs="宋体"/>
          <w:color w:val="auto"/>
          <w:sz w:val="19"/>
          <w:szCs w:val="19"/>
          <w:highlight w:val="none"/>
        </w:rPr>
      </w:pPr>
      <w:r>
        <w:rPr>
          <w:rStyle w:val="20"/>
          <w:rFonts w:hint="eastAsia" w:ascii="宋体" w:hAnsi="宋体" w:eastAsia="宋体" w:cs="宋体"/>
          <w:color w:val="auto"/>
          <w:sz w:val="72"/>
          <w:szCs w:val="72"/>
          <w:highlight w:val="none"/>
          <w:shd w:val="clear" w:color="auto" w:fill="FFFFFF"/>
        </w:rPr>
        <w:t>货物和服务项目</w:t>
      </w:r>
    </w:p>
    <w:p>
      <w:pPr>
        <w:pStyle w:val="14"/>
        <w:widowControl/>
        <w:shd w:val="clear" w:color="auto" w:fill="FFFFFF"/>
        <w:spacing w:before="75" w:beforeAutospacing="0" w:after="75" w:afterAutospacing="0"/>
        <w:jc w:val="center"/>
        <w:rPr>
          <w:rFonts w:ascii="宋体" w:hAnsi="宋体" w:eastAsia="宋体" w:cs="宋体"/>
          <w:color w:val="auto"/>
          <w:sz w:val="19"/>
          <w:szCs w:val="19"/>
          <w:highlight w:val="none"/>
        </w:rPr>
      </w:pPr>
      <w:r>
        <w:rPr>
          <w:rStyle w:val="20"/>
          <w:rFonts w:hint="eastAsia" w:ascii="宋体" w:hAnsi="宋体" w:eastAsia="宋体" w:cs="宋体"/>
          <w:color w:val="auto"/>
          <w:sz w:val="72"/>
          <w:szCs w:val="72"/>
          <w:highlight w:val="none"/>
          <w:shd w:val="clear" w:color="auto" w:fill="FFFFFF"/>
        </w:rPr>
        <w:t>公开招标文件</w:t>
      </w:r>
    </w:p>
    <w:p>
      <w:pPr>
        <w:pStyle w:val="14"/>
        <w:widowControl/>
        <w:shd w:val="clear" w:color="auto" w:fill="FFFFFF"/>
        <w:spacing w:before="75" w:beforeAutospacing="0" w:after="75" w:afterAutospacing="0"/>
        <w:jc w:val="center"/>
        <w:rPr>
          <w:rFonts w:ascii="宋体" w:hAnsi="宋体" w:eastAsia="宋体" w:cs="宋体"/>
          <w:color w:val="auto"/>
          <w:sz w:val="19"/>
          <w:szCs w:val="19"/>
          <w:highlight w:val="none"/>
        </w:rPr>
      </w:pPr>
    </w:p>
    <w:p>
      <w:pPr>
        <w:pStyle w:val="14"/>
        <w:widowControl/>
        <w:shd w:val="clear" w:color="auto" w:fill="FFFFFF"/>
        <w:spacing w:before="75" w:beforeAutospacing="0" w:after="75" w:afterAutospacing="0"/>
        <w:jc w:val="center"/>
        <w:rPr>
          <w:rFonts w:ascii="宋体" w:hAnsi="宋体" w:eastAsia="宋体" w:cs="宋体"/>
          <w:color w:val="auto"/>
          <w:sz w:val="19"/>
          <w:szCs w:val="19"/>
          <w:highlight w:val="none"/>
        </w:rPr>
      </w:pPr>
    </w:p>
    <w:p>
      <w:pPr>
        <w:pStyle w:val="14"/>
        <w:widowControl/>
        <w:shd w:val="clear" w:color="auto" w:fill="FFFFFF"/>
        <w:spacing w:before="75" w:beforeAutospacing="0" w:after="75" w:afterAutospacing="0"/>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（预公告版本）</w:t>
      </w:r>
    </w:p>
    <w:p>
      <w:pPr>
        <w:pStyle w:val="14"/>
        <w:widowControl/>
        <w:shd w:val="clear" w:color="auto" w:fill="FFFFFF"/>
        <w:spacing w:before="75" w:beforeAutospacing="0" w:after="75" w:afterAutospacing="0"/>
        <w:jc w:val="center"/>
        <w:rPr>
          <w:rFonts w:ascii="宋体" w:hAnsi="宋体" w:eastAsia="宋体" w:cs="宋体"/>
          <w:color w:val="auto"/>
          <w:sz w:val="19"/>
          <w:szCs w:val="19"/>
          <w:highlight w:val="none"/>
        </w:rPr>
      </w:pPr>
    </w:p>
    <w:p>
      <w:pPr>
        <w:pStyle w:val="14"/>
        <w:widowControl/>
        <w:shd w:val="clear" w:color="auto" w:fill="FFFFFF"/>
        <w:spacing w:before="75" w:beforeAutospacing="0" w:after="75" w:afterAutospacing="0"/>
        <w:jc w:val="center"/>
        <w:rPr>
          <w:rFonts w:ascii="宋体" w:hAnsi="宋体" w:eastAsia="宋体" w:cs="宋体"/>
          <w:color w:val="auto"/>
          <w:sz w:val="19"/>
          <w:szCs w:val="19"/>
          <w:highlight w:val="none"/>
        </w:rPr>
      </w:pPr>
      <w:bookmarkStart w:id="65" w:name="_GoBack"/>
      <w:bookmarkEnd w:id="65"/>
    </w:p>
    <w:p>
      <w:pPr>
        <w:pStyle w:val="14"/>
        <w:widowControl/>
        <w:shd w:val="clear" w:color="auto" w:fill="FFFFFF"/>
        <w:spacing w:before="75" w:beforeAutospacing="0" w:after="75" w:afterAutospacing="0"/>
        <w:rPr>
          <w:rFonts w:ascii="宋体" w:hAnsi="宋体" w:eastAsia="宋体" w:cs="宋体"/>
          <w:color w:val="auto"/>
          <w:sz w:val="19"/>
          <w:szCs w:val="19"/>
          <w:highlight w:val="none"/>
        </w:rPr>
      </w:pPr>
    </w:p>
    <w:p>
      <w:pPr>
        <w:pStyle w:val="14"/>
        <w:widowControl/>
        <w:shd w:val="clear" w:color="auto" w:fill="FFFFFF"/>
        <w:spacing w:before="75" w:beforeAutospacing="0" w:after="75" w:afterAutospacing="0"/>
        <w:jc w:val="center"/>
        <w:rPr>
          <w:rFonts w:ascii="宋体" w:hAnsi="宋体" w:eastAsia="宋体" w:cs="宋体"/>
          <w:color w:val="auto"/>
          <w:sz w:val="19"/>
          <w:szCs w:val="19"/>
          <w:highlight w:val="none"/>
        </w:rPr>
      </w:pPr>
    </w:p>
    <w:p>
      <w:pPr>
        <w:pStyle w:val="14"/>
        <w:widowControl/>
        <w:shd w:val="clear" w:color="auto" w:fill="FFFFFF"/>
        <w:spacing w:before="75" w:beforeAutospacing="0" w:after="75" w:afterAutospacing="0"/>
        <w:rPr>
          <w:rFonts w:ascii="宋体" w:hAnsi="宋体" w:eastAsia="宋体" w:cs="宋体"/>
          <w:color w:val="auto"/>
          <w:sz w:val="19"/>
          <w:szCs w:val="19"/>
          <w:highlight w:val="none"/>
        </w:rPr>
      </w:pPr>
      <w:r>
        <w:rPr>
          <w:rStyle w:val="20"/>
          <w:rFonts w:hint="eastAsia" w:ascii="宋体" w:hAnsi="宋体" w:eastAsia="宋体" w:cs="宋体"/>
          <w:color w:val="auto"/>
          <w:sz w:val="30"/>
          <w:szCs w:val="30"/>
          <w:highlight w:val="none"/>
          <w:shd w:val="clear" w:color="auto" w:fill="FFFFFF"/>
        </w:rPr>
        <w:t>项目名称：</w:t>
      </w:r>
      <w:r>
        <w:rPr>
          <w:rFonts w:hint="eastAsia" w:ascii="宋体" w:hAnsi="宋体" w:eastAsia="宋体" w:cs="宋体"/>
          <w:b/>
          <w:color w:val="auto"/>
          <w:sz w:val="30"/>
          <w:szCs w:val="30"/>
          <w:highlight w:val="none"/>
          <w:shd w:val="clear" w:color="auto" w:fill="FFFFFF"/>
        </w:rPr>
        <w:t>台江区新一轮公厕管养（含污水抽吸转运）项目</w:t>
      </w:r>
    </w:p>
    <w:p>
      <w:pPr>
        <w:pStyle w:val="14"/>
        <w:widowControl/>
        <w:shd w:val="clear" w:color="auto" w:fill="FFFFFF"/>
        <w:spacing w:before="75" w:beforeAutospacing="0" w:after="75" w:afterAutospacing="0"/>
        <w:ind w:firstLine="1050"/>
        <w:rPr>
          <w:rStyle w:val="20"/>
          <w:rFonts w:ascii="宋体" w:hAnsi="宋体" w:eastAsia="宋体" w:cs="宋体"/>
          <w:color w:val="auto"/>
          <w:sz w:val="30"/>
          <w:szCs w:val="30"/>
          <w:highlight w:val="none"/>
          <w:shd w:val="clear" w:color="auto" w:fill="FFFFFF"/>
        </w:rPr>
      </w:pPr>
    </w:p>
    <w:p>
      <w:pPr>
        <w:pStyle w:val="14"/>
        <w:widowControl/>
        <w:shd w:val="clear" w:color="auto" w:fill="FFFFFF"/>
        <w:spacing w:before="75" w:beforeAutospacing="0" w:after="75" w:afterAutospacing="0"/>
        <w:ind w:firstLine="1050"/>
        <w:rPr>
          <w:rFonts w:ascii="宋体" w:hAnsi="宋体" w:eastAsia="宋体" w:cs="宋体"/>
          <w:color w:val="auto"/>
          <w:sz w:val="19"/>
          <w:szCs w:val="19"/>
          <w:highlight w:val="none"/>
        </w:rPr>
      </w:pPr>
      <w:r>
        <w:rPr>
          <w:rStyle w:val="20"/>
          <w:rFonts w:hint="eastAsia" w:ascii="宋体" w:hAnsi="宋体" w:eastAsia="宋体" w:cs="宋体"/>
          <w:color w:val="auto"/>
          <w:sz w:val="30"/>
          <w:szCs w:val="30"/>
          <w:highlight w:val="none"/>
          <w:shd w:val="clear" w:color="auto" w:fill="FFFFFF"/>
        </w:rPr>
        <w:t>备案编号：</w:t>
      </w:r>
      <w:r>
        <w:rPr>
          <w:rFonts w:hint="eastAsia" w:ascii="宋体" w:hAnsi="宋体" w:eastAsia="宋体" w:cs="宋体"/>
          <w:b/>
          <w:color w:val="auto"/>
          <w:sz w:val="30"/>
          <w:szCs w:val="30"/>
          <w:highlight w:val="none"/>
          <w:shd w:val="clear" w:color="auto" w:fill="FFFFFF"/>
        </w:rPr>
        <w:t>A2-350103SR-GK-202109-B4452-ZBZX</w:t>
      </w:r>
    </w:p>
    <w:p>
      <w:pPr>
        <w:pStyle w:val="14"/>
        <w:widowControl/>
        <w:shd w:val="clear" w:color="auto" w:fill="FFFFFF"/>
        <w:spacing w:before="75" w:beforeAutospacing="0" w:after="75" w:afterAutospacing="0"/>
        <w:rPr>
          <w:rFonts w:ascii="宋体" w:hAnsi="宋体" w:eastAsia="宋体" w:cs="宋体"/>
          <w:color w:val="auto"/>
          <w:sz w:val="19"/>
          <w:szCs w:val="19"/>
          <w:highlight w:val="none"/>
        </w:rPr>
      </w:pPr>
    </w:p>
    <w:p>
      <w:pPr>
        <w:pStyle w:val="14"/>
        <w:widowControl/>
        <w:shd w:val="clear" w:color="auto" w:fill="FFFFFF"/>
        <w:spacing w:before="75" w:beforeAutospacing="0" w:after="75" w:afterAutospacing="0"/>
        <w:ind w:firstLine="1050"/>
        <w:rPr>
          <w:rFonts w:ascii="宋体" w:hAnsi="宋体" w:eastAsia="宋体" w:cs="宋体"/>
          <w:color w:val="auto"/>
          <w:sz w:val="19"/>
          <w:szCs w:val="19"/>
          <w:highlight w:val="none"/>
        </w:rPr>
      </w:pPr>
      <w:r>
        <w:rPr>
          <w:rStyle w:val="20"/>
          <w:rFonts w:hint="eastAsia" w:ascii="宋体" w:hAnsi="宋体" w:eastAsia="宋体" w:cs="宋体"/>
          <w:color w:val="auto"/>
          <w:sz w:val="30"/>
          <w:szCs w:val="30"/>
          <w:highlight w:val="none"/>
          <w:shd w:val="clear" w:color="auto" w:fill="FFFFFF"/>
        </w:rPr>
        <w:t>招标编号：</w:t>
      </w:r>
      <w:r>
        <w:rPr>
          <w:rFonts w:hint="eastAsia" w:ascii="宋体" w:hAnsi="宋体" w:eastAsia="宋体" w:cs="宋体"/>
          <w:b/>
          <w:color w:val="auto"/>
          <w:sz w:val="30"/>
          <w:szCs w:val="30"/>
          <w:highlight w:val="none"/>
          <w:shd w:val="clear" w:color="auto" w:fill="FFFFFF"/>
        </w:rPr>
        <w:t>[350103]ZBZX[GK]2021003</w:t>
      </w:r>
    </w:p>
    <w:p>
      <w:pPr>
        <w:pStyle w:val="14"/>
        <w:widowControl/>
        <w:shd w:val="clear" w:color="auto" w:fill="FFFFFF"/>
        <w:spacing w:before="75" w:beforeAutospacing="0" w:after="75" w:afterAutospacing="0"/>
        <w:rPr>
          <w:rFonts w:ascii="宋体" w:hAnsi="宋体" w:eastAsia="宋体" w:cs="宋体"/>
          <w:color w:val="auto"/>
          <w:sz w:val="19"/>
          <w:szCs w:val="19"/>
          <w:highlight w:val="none"/>
        </w:rPr>
      </w:pPr>
    </w:p>
    <w:p>
      <w:pPr>
        <w:pStyle w:val="14"/>
        <w:widowControl/>
        <w:shd w:val="clear" w:color="auto" w:fill="FFFFFF"/>
        <w:spacing w:before="75" w:beforeAutospacing="0" w:after="75" w:afterAutospacing="0"/>
        <w:jc w:val="center"/>
        <w:rPr>
          <w:rStyle w:val="20"/>
          <w:rFonts w:ascii="宋体" w:hAnsi="宋体" w:eastAsia="宋体" w:cs="宋体"/>
          <w:color w:val="auto"/>
          <w:sz w:val="28"/>
          <w:szCs w:val="28"/>
          <w:highlight w:val="none"/>
          <w:shd w:val="clear" w:color="auto" w:fill="FFFFFF"/>
        </w:rPr>
      </w:pPr>
      <w:r>
        <w:rPr>
          <w:rStyle w:val="20"/>
          <w:rFonts w:hint="eastAsia" w:ascii="宋体" w:hAnsi="宋体" w:eastAsia="宋体" w:cs="宋体"/>
          <w:color w:val="auto"/>
          <w:sz w:val="28"/>
          <w:szCs w:val="28"/>
          <w:highlight w:val="none"/>
          <w:shd w:val="clear" w:color="auto" w:fill="FFFFFF"/>
        </w:rPr>
        <w:t xml:space="preserve">采购人：福州市台江区城市管理局 </w:t>
      </w:r>
    </w:p>
    <w:p>
      <w:pPr>
        <w:pStyle w:val="14"/>
        <w:widowControl/>
        <w:shd w:val="clear" w:color="auto" w:fill="FFFFFF"/>
        <w:spacing w:before="75" w:beforeAutospacing="0" w:after="75" w:afterAutospacing="0"/>
        <w:jc w:val="center"/>
        <w:rPr>
          <w:rFonts w:ascii="宋体" w:hAnsi="宋体" w:eastAsia="宋体" w:cs="宋体"/>
          <w:color w:val="auto"/>
          <w:sz w:val="19"/>
          <w:szCs w:val="19"/>
          <w:highlight w:val="none"/>
        </w:rPr>
      </w:pPr>
      <w:r>
        <w:rPr>
          <w:rStyle w:val="20"/>
          <w:rFonts w:hint="eastAsia" w:ascii="宋体" w:hAnsi="宋体" w:eastAsia="宋体" w:cs="宋体"/>
          <w:color w:val="auto"/>
          <w:sz w:val="28"/>
          <w:szCs w:val="28"/>
          <w:highlight w:val="none"/>
          <w:shd w:val="clear" w:color="auto" w:fill="FFFFFF"/>
        </w:rPr>
        <w:t>代理机构：</w:t>
      </w:r>
      <w:r>
        <w:rPr>
          <w:rFonts w:hint="eastAsia" w:ascii="宋体" w:hAnsi="宋体" w:eastAsia="宋体" w:cs="宋体"/>
          <w:b/>
          <w:color w:val="auto"/>
          <w:sz w:val="28"/>
          <w:szCs w:val="28"/>
          <w:highlight w:val="none"/>
          <w:shd w:val="clear" w:color="auto" w:fill="FFFFFF"/>
        </w:rPr>
        <w:t>福建省招标中心有限责任公司</w:t>
      </w:r>
    </w:p>
    <w:p>
      <w:pPr>
        <w:pStyle w:val="14"/>
        <w:widowControl/>
        <w:shd w:val="clear" w:color="auto" w:fill="FFFFFF"/>
        <w:spacing w:before="75" w:beforeAutospacing="0" w:after="75" w:afterAutospacing="0"/>
        <w:jc w:val="center"/>
        <w:rPr>
          <w:rFonts w:ascii="宋体" w:hAnsi="宋体" w:eastAsia="宋体" w:cs="宋体"/>
          <w:color w:val="auto"/>
          <w:sz w:val="19"/>
          <w:szCs w:val="19"/>
          <w:highlight w:val="none"/>
        </w:rPr>
      </w:pPr>
    </w:p>
    <w:p>
      <w:pPr>
        <w:pStyle w:val="14"/>
        <w:widowControl/>
        <w:shd w:val="clear" w:color="auto" w:fill="FFFFFF"/>
        <w:spacing w:before="75" w:beforeAutospacing="0" w:after="75" w:afterAutospacing="0" w:line="360" w:lineRule="atLeast"/>
        <w:ind w:right="720"/>
        <w:jc w:val="center"/>
        <w:rPr>
          <w:rFonts w:ascii="宋体" w:hAnsi="宋体" w:eastAsia="宋体" w:cs="宋体"/>
          <w:color w:val="auto"/>
          <w:highlight w:val="none"/>
          <w:shd w:val="clear" w:color="auto" w:fill="FFFFFF"/>
        </w:rPr>
      </w:pPr>
      <w:r>
        <w:rPr>
          <w:rStyle w:val="20"/>
          <w:rFonts w:hint="eastAsia" w:ascii="宋体" w:hAnsi="宋体" w:eastAsia="宋体" w:cs="宋体"/>
          <w:color w:val="auto"/>
          <w:sz w:val="28"/>
          <w:szCs w:val="28"/>
          <w:highlight w:val="none"/>
          <w:shd w:val="clear" w:color="auto" w:fill="FFFFFF"/>
        </w:rPr>
        <w:t>2021年</w:t>
      </w:r>
      <w:r>
        <w:rPr>
          <w:rStyle w:val="20"/>
          <w:rFonts w:hint="eastAsia" w:ascii="宋体" w:hAnsi="宋体" w:eastAsia="宋体" w:cs="宋体"/>
          <w:color w:val="auto"/>
          <w:sz w:val="28"/>
          <w:szCs w:val="28"/>
          <w:highlight w:val="none"/>
          <w:shd w:val="clear" w:color="auto" w:fill="FFFFFF"/>
          <w:lang w:val="en-US" w:eastAsia="zh-CN"/>
        </w:rPr>
        <w:t>10</w:t>
      </w:r>
      <w:r>
        <w:rPr>
          <w:rStyle w:val="20"/>
          <w:rFonts w:hint="eastAsia" w:ascii="宋体" w:hAnsi="宋体" w:eastAsia="宋体" w:cs="宋体"/>
          <w:color w:val="auto"/>
          <w:sz w:val="28"/>
          <w:szCs w:val="28"/>
          <w:highlight w:val="none"/>
          <w:shd w:val="clear" w:color="auto" w:fill="FFFFFF"/>
        </w:rPr>
        <w:t>月</w:t>
      </w:r>
    </w:p>
    <w:p>
      <w:pPr>
        <w:pStyle w:val="14"/>
        <w:widowControl/>
        <w:shd w:val="clear" w:color="auto" w:fill="FFFFFF"/>
        <w:spacing w:before="75" w:beforeAutospacing="0" w:after="75" w:afterAutospacing="0"/>
        <w:rPr>
          <w:rFonts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br w:type="page"/>
      </w:r>
    </w:p>
    <w:p>
      <w:pPr>
        <w:pStyle w:val="14"/>
        <w:widowControl/>
        <w:spacing w:before="75" w:beforeAutospacing="0" w:after="75" w:afterAutospacing="0"/>
        <w:jc w:val="center"/>
        <w:outlineLvl w:val="9"/>
        <w:rPr>
          <w:rStyle w:val="20"/>
          <w:rFonts w:hint="eastAsia" w:ascii="宋体" w:hAnsi="宋体" w:eastAsia="宋体" w:cs="宋体"/>
          <w:color w:val="auto"/>
          <w:sz w:val="31"/>
          <w:szCs w:val="31"/>
          <w:highlight w:val="none"/>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65872"/>
        <w15:color w:val="DBDBDB"/>
        <w:docPartObj>
          <w:docPartGallery w:val="Table of Contents"/>
          <w:docPartUnique/>
        </w:docPartObj>
      </w:sdtPr>
      <w:sdtEndPr>
        <w:rPr>
          <w:rFonts w:hint="eastAsia" w:ascii="宋体" w:hAnsi="宋体" w:eastAsia="宋体" w:cs="宋体"/>
          <w:color w:val="auto"/>
          <w:kern w:val="0"/>
          <w:sz w:val="24"/>
          <w:szCs w:val="31"/>
          <w:highlight w:val="none"/>
          <w:lang w:val="en-US" w:eastAsia="zh-CN" w:bidi="ar-SA"/>
        </w:rPr>
      </w:sdtEndPr>
      <w:sdtContent>
        <w:p>
          <w:pPr>
            <w:spacing w:before="0" w:beforeLines="0" w:after="0" w:afterLines="0" w:line="240" w:lineRule="auto"/>
            <w:ind w:left="0" w:leftChars="0" w:right="0" w:rightChars="0" w:firstLine="0" w:firstLineChars="0"/>
            <w:jc w:val="center"/>
            <w:rPr>
              <w:sz w:val="24"/>
              <w:szCs w:val="32"/>
            </w:rPr>
          </w:pPr>
          <w:r>
            <w:rPr>
              <w:rFonts w:ascii="宋体" w:hAnsi="宋体" w:eastAsia="宋体"/>
              <w:sz w:val="24"/>
              <w:szCs w:val="32"/>
            </w:rPr>
            <w:t>目录</w:t>
          </w:r>
        </w:p>
        <w:p>
          <w:pPr>
            <w:pStyle w:val="30"/>
            <w:tabs>
              <w:tab w:val="right" w:leader="dot" w:pos="8306"/>
            </w:tabs>
            <w:rPr>
              <w:sz w:val="24"/>
              <w:szCs w:val="24"/>
            </w:rPr>
          </w:pPr>
          <w:r>
            <w:rPr>
              <w:rStyle w:val="20"/>
              <w:rFonts w:hint="eastAsia" w:ascii="宋体" w:hAnsi="宋体" w:eastAsia="宋体" w:cs="宋体"/>
              <w:color w:val="auto"/>
              <w:sz w:val="24"/>
              <w:szCs w:val="24"/>
              <w:highlight w:val="none"/>
            </w:rPr>
            <w:fldChar w:fldCharType="begin"/>
          </w:r>
          <w:r>
            <w:rPr>
              <w:rStyle w:val="20"/>
              <w:rFonts w:hint="eastAsia" w:ascii="宋体" w:hAnsi="宋体" w:eastAsia="宋体" w:cs="宋体"/>
              <w:color w:val="auto"/>
              <w:sz w:val="24"/>
              <w:szCs w:val="24"/>
              <w:highlight w:val="none"/>
            </w:rPr>
            <w:instrText xml:space="preserve">TOC \o "1-1" \h \u </w:instrText>
          </w:r>
          <w:r>
            <w:rPr>
              <w:rStyle w:val="20"/>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_Toc20055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第一章   投标邀请</w:t>
          </w:r>
          <w:r>
            <w:rPr>
              <w:sz w:val="24"/>
              <w:szCs w:val="24"/>
            </w:rPr>
            <w:tab/>
          </w:r>
          <w:r>
            <w:rPr>
              <w:sz w:val="24"/>
              <w:szCs w:val="24"/>
            </w:rPr>
            <w:fldChar w:fldCharType="begin"/>
          </w:r>
          <w:r>
            <w:rPr>
              <w:sz w:val="24"/>
              <w:szCs w:val="24"/>
            </w:rPr>
            <w:instrText xml:space="preserve"> PAGEREF _Toc20055 \h </w:instrText>
          </w:r>
          <w:r>
            <w:rPr>
              <w:sz w:val="24"/>
              <w:szCs w:val="24"/>
            </w:rPr>
            <w:fldChar w:fldCharType="separate"/>
          </w:r>
          <w:r>
            <w:rPr>
              <w:sz w:val="24"/>
              <w:szCs w:val="24"/>
            </w:rPr>
            <w:t>2</w:t>
          </w:r>
          <w:r>
            <w:rPr>
              <w:sz w:val="24"/>
              <w:szCs w:val="24"/>
            </w:rPr>
            <w:fldChar w:fldCharType="end"/>
          </w:r>
          <w:r>
            <w:rPr>
              <w:rFonts w:hint="eastAsia" w:ascii="宋体" w:hAnsi="宋体" w:eastAsia="宋体" w:cs="宋体"/>
              <w:color w:val="auto"/>
              <w:sz w:val="24"/>
              <w:szCs w:val="24"/>
              <w:highlight w:val="none"/>
            </w:rPr>
            <w:fldChar w:fldCharType="end"/>
          </w:r>
        </w:p>
        <w:p>
          <w:pPr>
            <w:pStyle w:val="30"/>
            <w:tabs>
              <w:tab w:val="right" w:leader="dot" w:pos="8306"/>
            </w:tabs>
            <w:rPr>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_Toc12284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第二章   投标人须知前附表（表1、2）</w:t>
          </w:r>
          <w:r>
            <w:rPr>
              <w:sz w:val="24"/>
              <w:szCs w:val="24"/>
            </w:rPr>
            <w:tab/>
          </w:r>
          <w:r>
            <w:rPr>
              <w:sz w:val="24"/>
              <w:szCs w:val="24"/>
            </w:rPr>
            <w:fldChar w:fldCharType="begin"/>
          </w:r>
          <w:r>
            <w:rPr>
              <w:sz w:val="24"/>
              <w:szCs w:val="24"/>
            </w:rPr>
            <w:instrText xml:space="preserve"> PAGEREF _Toc12284 \h </w:instrText>
          </w:r>
          <w:r>
            <w:rPr>
              <w:sz w:val="24"/>
              <w:szCs w:val="24"/>
            </w:rPr>
            <w:fldChar w:fldCharType="separate"/>
          </w:r>
          <w:r>
            <w:rPr>
              <w:sz w:val="24"/>
              <w:szCs w:val="24"/>
            </w:rPr>
            <w:t>6</w:t>
          </w:r>
          <w:r>
            <w:rPr>
              <w:sz w:val="24"/>
              <w:szCs w:val="24"/>
            </w:rPr>
            <w:fldChar w:fldCharType="end"/>
          </w:r>
          <w:r>
            <w:rPr>
              <w:rFonts w:hint="eastAsia" w:ascii="宋体" w:hAnsi="宋体" w:eastAsia="宋体" w:cs="宋体"/>
              <w:color w:val="auto"/>
              <w:sz w:val="24"/>
              <w:szCs w:val="24"/>
              <w:highlight w:val="none"/>
            </w:rPr>
            <w:fldChar w:fldCharType="end"/>
          </w:r>
        </w:p>
        <w:p>
          <w:pPr>
            <w:pStyle w:val="30"/>
            <w:tabs>
              <w:tab w:val="right" w:leader="dot" w:pos="8306"/>
            </w:tabs>
            <w:rPr>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_Toc3119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第三章   投标人须知</w:t>
          </w:r>
          <w:r>
            <w:rPr>
              <w:sz w:val="24"/>
              <w:szCs w:val="24"/>
            </w:rPr>
            <w:tab/>
          </w:r>
          <w:r>
            <w:rPr>
              <w:sz w:val="24"/>
              <w:szCs w:val="24"/>
            </w:rPr>
            <w:fldChar w:fldCharType="begin"/>
          </w:r>
          <w:r>
            <w:rPr>
              <w:sz w:val="24"/>
              <w:szCs w:val="24"/>
            </w:rPr>
            <w:instrText xml:space="preserve"> PAGEREF _Toc3119 \h </w:instrText>
          </w:r>
          <w:r>
            <w:rPr>
              <w:sz w:val="24"/>
              <w:szCs w:val="24"/>
            </w:rPr>
            <w:fldChar w:fldCharType="separate"/>
          </w:r>
          <w:r>
            <w:rPr>
              <w:sz w:val="24"/>
              <w:szCs w:val="24"/>
            </w:rPr>
            <w:t>11</w:t>
          </w:r>
          <w:r>
            <w:rPr>
              <w:sz w:val="24"/>
              <w:szCs w:val="24"/>
            </w:rPr>
            <w:fldChar w:fldCharType="end"/>
          </w:r>
          <w:r>
            <w:rPr>
              <w:rFonts w:hint="eastAsia" w:ascii="宋体" w:hAnsi="宋体" w:eastAsia="宋体" w:cs="宋体"/>
              <w:color w:val="auto"/>
              <w:sz w:val="24"/>
              <w:szCs w:val="24"/>
              <w:highlight w:val="none"/>
            </w:rPr>
            <w:fldChar w:fldCharType="end"/>
          </w:r>
        </w:p>
        <w:p>
          <w:pPr>
            <w:pStyle w:val="30"/>
            <w:tabs>
              <w:tab w:val="right" w:leader="dot" w:pos="8306"/>
            </w:tabs>
            <w:rPr>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_Toc9700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第四章   资格审查与评标</w:t>
          </w:r>
          <w:r>
            <w:rPr>
              <w:sz w:val="24"/>
              <w:szCs w:val="24"/>
            </w:rPr>
            <w:tab/>
          </w:r>
          <w:r>
            <w:rPr>
              <w:sz w:val="24"/>
              <w:szCs w:val="24"/>
            </w:rPr>
            <w:fldChar w:fldCharType="begin"/>
          </w:r>
          <w:r>
            <w:rPr>
              <w:sz w:val="24"/>
              <w:szCs w:val="24"/>
            </w:rPr>
            <w:instrText xml:space="preserve"> PAGEREF _Toc9700 \h </w:instrText>
          </w:r>
          <w:r>
            <w:rPr>
              <w:sz w:val="24"/>
              <w:szCs w:val="24"/>
            </w:rPr>
            <w:fldChar w:fldCharType="separate"/>
          </w:r>
          <w:r>
            <w:rPr>
              <w:sz w:val="24"/>
              <w:szCs w:val="24"/>
            </w:rPr>
            <w:t>23</w:t>
          </w:r>
          <w:r>
            <w:rPr>
              <w:sz w:val="24"/>
              <w:szCs w:val="24"/>
            </w:rPr>
            <w:fldChar w:fldCharType="end"/>
          </w:r>
          <w:r>
            <w:rPr>
              <w:rFonts w:hint="eastAsia" w:ascii="宋体" w:hAnsi="宋体" w:eastAsia="宋体" w:cs="宋体"/>
              <w:color w:val="auto"/>
              <w:sz w:val="24"/>
              <w:szCs w:val="24"/>
              <w:highlight w:val="none"/>
            </w:rPr>
            <w:fldChar w:fldCharType="end"/>
          </w:r>
        </w:p>
        <w:p>
          <w:pPr>
            <w:pStyle w:val="30"/>
            <w:tabs>
              <w:tab w:val="right" w:leader="dot" w:pos="8306"/>
            </w:tabs>
            <w:rPr>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_Toc30922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第五章   招标内容及要求</w:t>
          </w:r>
          <w:r>
            <w:rPr>
              <w:sz w:val="24"/>
              <w:szCs w:val="24"/>
            </w:rPr>
            <w:tab/>
          </w:r>
          <w:r>
            <w:rPr>
              <w:sz w:val="24"/>
              <w:szCs w:val="24"/>
            </w:rPr>
            <w:fldChar w:fldCharType="begin"/>
          </w:r>
          <w:r>
            <w:rPr>
              <w:sz w:val="24"/>
              <w:szCs w:val="24"/>
            </w:rPr>
            <w:instrText xml:space="preserve"> PAGEREF _Toc30922 \h </w:instrText>
          </w:r>
          <w:r>
            <w:rPr>
              <w:sz w:val="24"/>
              <w:szCs w:val="24"/>
            </w:rPr>
            <w:fldChar w:fldCharType="separate"/>
          </w:r>
          <w:r>
            <w:rPr>
              <w:sz w:val="24"/>
              <w:szCs w:val="24"/>
            </w:rPr>
            <w:t>46</w:t>
          </w:r>
          <w:r>
            <w:rPr>
              <w:sz w:val="24"/>
              <w:szCs w:val="24"/>
            </w:rPr>
            <w:fldChar w:fldCharType="end"/>
          </w:r>
          <w:r>
            <w:rPr>
              <w:rFonts w:hint="eastAsia" w:ascii="宋体" w:hAnsi="宋体" w:eastAsia="宋体" w:cs="宋体"/>
              <w:color w:val="auto"/>
              <w:sz w:val="24"/>
              <w:szCs w:val="24"/>
              <w:highlight w:val="none"/>
            </w:rPr>
            <w:fldChar w:fldCharType="end"/>
          </w:r>
        </w:p>
        <w:p>
          <w:pPr>
            <w:pStyle w:val="30"/>
            <w:tabs>
              <w:tab w:val="right" w:leader="dot" w:pos="8306"/>
            </w:tabs>
            <w:rPr>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_Toc1275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第六章   政府采购合同（参考文本）</w:t>
          </w:r>
          <w:r>
            <w:rPr>
              <w:sz w:val="24"/>
              <w:szCs w:val="24"/>
            </w:rPr>
            <w:tab/>
          </w:r>
          <w:r>
            <w:rPr>
              <w:sz w:val="24"/>
              <w:szCs w:val="24"/>
            </w:rPr>
            <w:fldChar w:fldCharType="begin"/>
          </w:r>
          <w:r>
            <w:rPr>
              <w:sz w:val="24"/>
              <w:szCs w:val="24"/>
            </w:rPr>
            <w:instrText xml:space="preserve"> PAGEREF _Toc1275 \h </w:instrText>
          </w:r>
          <w:r>
            <w:rPr>
              <w:sz w:val="24"/>
              <w:szCs w:val="24"/>
            </w:rPr>
            <w:fldChar w:fldCharType="separate"/>
          </w:r>
          <w:r>
            <w:rPr>
              <w:sz w:val="24"/>
              <w:szCs w:val="24"/>
            </w:rPr>
            <w:t>84</w:t>
          </w:r>
          <w:r>
            <w:rPr>
              <w:sz w:val="24"/>
              <w:szCs w:val="24"/>
            </w:rPr>
            <w:fldChar w:fldCharType="end"/>
          </w:r>
          <w:r>
            <w:rPr>
              <w:rFonts w:hint="eastAsia" w:ascii="宋体" w:hAnsi="宋体" w:eastAsia="宋体" w:cs="宋体"/>
              <w:color w:val="auto"/>
              <w:sz w:val="24"/>
              <w:szCs w:val="24"/>
              <w:highlight w:val="none"/>
            </w:rPr>
            <w:fldChar w:fldCharType="end"/>
          </w:r>
        </w:p>
        <w:p>
          <w:pPr>
            <w:pStyle w:val="30"/>
            <w:tabs>
              <w:tab w:val="right" w:leader="dot" w:pos="8306"/>
            </w:tabs>
            <w:rPr>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_Toc8911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第七章   投标文件格式</w:t>
          </w:r>
          <w:r>
            <w:rPr>
              <w:sz w:val="24"/>
              <w:szCs w:val="24"/>
            </w:rPr>
            <w:tab/>
          </w:r>
          <w:r>
            <w:rPr>
              <w:sz w:val="24"/>
              <w:szCs w:val="24"/>
            </w:rPr>
            <w:fldChar w:fldCharType="begin"/>
          </w:r>
          <w:r>
            <w:rPr>
              <w:sz w:val="24"/>
              <w:szCs w:val="24"/>
            </w:rPr>
            <w:instrText xml:space="preserve"> PAGEREF _Toc8911 \h </w:instrText>
          </w:r>
          <w:r>
            <w:rPr>
              <w:sz w:val="24"/>
              <w:szCs w:val="24"/>
            </w:rPr>
            <w:fldChar w:fldCharType="separate"/>
          </w:r>
          <w:r>
            <w:rPr>
              <w:sz w:val="24"/>
              <w:szCs w:val="24"/>
            </w:rPr>
            <w:t>87</w:t>
          </w:r>
          <w:r>
            <w:rPr>
              <w:sz w:val="24"/>
              <w:szCs w:val="24"/>
            </w:rPr>
            <w:fldChar w:fldCharType="end"/>
          </w:r>
          <w:r>
            <w:rPr>
              <w:rFonts w:hint="eastAsia" w:ascii="宋体" w:hAnsi="宋体" w:eastAsia="宋体" w:cs="宋体"/>
              <w:color w:val="auto"/>
              <w:sz w:val="24"/>
              <w:szCs w:val="24"/>
              <w:highlight w:val="none"/>
            </w:rPr>
            <w:fldChar w:fldCharType="end"/>
          </w:r>
        </w:p>
        <w:p>
          <w:pPr>
            <w:pStyle w:val="14"/>
            <w:widowControl/>
            <w:spacing w:before="75" w:beforeAutospacing="0" w:after="75" w:afterAutospacing="0"/>
            <w:jc w:val="center"/>
            <w:outlineLvl w:val="9"/>
            <w:rPr>
              <w:rFonts w:hint="eastAsia" w:ascii="宋体" w:hAnsi="宋体" w:eastAsia="宋体" w:cs="宋体"/>
              <w:color w:val="auto"/>
              <w:kern w:val="0"/>
              <w:sz w:val="24"/>
              <w:szCs w:val="31"/>
              <w:highlight w:val="none"/>
              <w:lang w:val="en-US" w:eastAsia="zh-CN" w:bidi="ar-SA"/>
            </w:rPr>
          </w:pPr>
          <w:r>
            <w:rPr>
              <w:rFonts w:hint="eastAsia" w:ascii="宋体" w:hAnsi="宋体" w:eastAsia="宋体" w:cs="宋体"/>
              <w:color w:val="auto"/>
              <w:sz w:val="24"/>
              <w:szCs w:val="24"/>
              <w:highlight w:val="none"/>
            </w:rPr>
            <w:fldChar w:fldCharType="end"/>
          </w:r>
        </w:p>
      </w:sdtContent>
    </w:sdt>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center" w:pos="4153"/>
        </w:tabs>
        <w:bidi w:val="0"/>
        <w:jc w:val="left"/>
        <w:rPr>
          <w:rFonts w:hint="eastAsia"/>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lang w:val="en-US" w:eastAsia="zh-CN"/>
        </w:rPr>
        <w:tab/>
      </w:r>
    </w:p>
    <w:p>
      <w:pPr>
        <w:pStyle w:val="14"/>
        <w:widowControl/>
        <w:spacing w:before="75" w:beforeAutospacing="0" w:after="75" w:afterAutospacing="0"/>
        <w:jc w:val="center"/>
        <w:outlineLvl w:val="0"/>
        <w:rPr>
          <w:rFonts w:ascii="宋体" w:hAnsi="宋体" w:eastAsia="宋体" w:cs="宋体"/>
          <w:color w:val="auto"/>
          <w:highlight w:val="none"/>
        </w:rPr>
      </w:pPr>
      <w:bookmarkStart w:id="0" w:name="_Toc20055"/>
      <w:r>
        <w:rPr>
          <w:rStyle w:val="20"/>
          <w:rFonts w:hint="eastAsia" w:ascii="宋体" w:hAnsi="宋体" w:eastAsia="宋体" w:cs="宋体"/>
          <w:color w:val="auto"/>
          <w:sz w:val="31"/>
          <w:szCs w:val="31"/>
          <w:highlight w:val="none"/>
        </w:rPr>
        <w:t>第一章   投标邀请</w:t>
      </w:r>
      <w:bookmarkEnd w:id="0"/>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采用</w:t>
      </w:r>
      <w:r>
        <w:rPr>
          <w:rFonts w:hint="eastAsia" w:ascii="宋体" w:hAnsi="宋体" w:eastAsia="宋体" w:cs="宋体"/>
          <w:color w:val="auto"/>
          <w:highlight w:val="none"/>
          <w:u w:val="single"/>
        </w:rPr>
        <w:t>公开招标方式</w:t>
      </w:r>
      <w:r>
        <w:rPr>
          <w:rFonts w:hint="eastAsia" w:ascii="宋体" w:hAnsi="宋体" w:eastAsia="宋体" w:cs="宋体"/>
          <w:color w:val="auto"/>
          <w:highlight w:val="none"/>
        </w:rPr>
        <w:t>组织</w:t>
      </w:r>
      <w:r>
        <w:rPr>
          <w:rFonts w:hint="eastAsia" w:ascii="宋体" w:hAnsi="宋体" w:eastAsia="宋体" w:cs="宋体"/>
          <w:color w:val="auto"/>
          <w:highlight w:val="none"/>
          <w:u w:val="single"/>
        </w:rPr>
        <w:t>台江区新一轮公厕管养（含污水抽吸转运）项目</w:t>
      </w:r>
      <w:r>
        <w:rPr>
          <w:rFonts w:hint="eastAsia" w:ascii="宋体" w:hAnsi="宋体" w:eastAsia="宋体" w:cs="宋体"/>
          <w:color w:val="auto"/>
          <w:highlight w:val="none"/>
        </w:rPr>
        <w:t>（以下简称：“本项目”）的政府采购活动，现邀请供应商参加投标。</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1、备案编号：</w:t>
      </w:r>
      <w:r>
        <w:rPr>
          <w:rFonts w:hint="eastAsia" w:ascii="宋体" w:hAnsi="宋体" w:eastAsia="宋体" w:cs="宋体"/>
          <w:color w:val="auto"/>
          <w:highlight w:val="none"/>
          <w:u w:val="single"/>
        </w:rPr>
        <w:t>A2-350103SR-GK-202109-B4452-ZBZX</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2、招标编号：</w:t>
      </w:r>
      <w:r>
        <w:rPr>
          <w:rFonts w:hint="eastAsia" w:ascii="宋体" w:hAnsi="宋体" w:eastAsia="宋体" w:cs="宋体"/>
          <w:color w:val="auto"/>
          <w:highlight w:val="none"/>
          <w:u w:val="single"/>
        </w:rPr>
        <w:t>[350103]ZBZX[GK]2021003</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3、预算金额、最高限价：详见《采购标的一览表》。</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 xml:space="preserve">  4、招标内容及要求：详见《采购标的一览表》及招标文件第五章。</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5、需要落实的政府采购政策：进口产品，不适用于本项目。节能产品，不适用于本项目。环境标志产品，不适用于本项目。信息安全产品，不适用于本项目。小型、微型企业，适用于本项目，按（财库〔2020〕46号）文件规定。监狱企业，适用于本项目。促进残疾人就业，适用于本项目。信用记录，按照下列规定执行：通过“信用中国”网站（www.creditchina.gov.cn）、中国政府采购网（www.ccgp.gov.cn）查询投标人信用记录，信用记录查询规则以此处为准。①由资格审查小组通过上述网站查询并打印投标人信用记录（以下简称：“资格审查小组的查询结果”）。②资格审查小组的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本文件中描述与此处不一致的，以此处为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6、投标人的资格要求</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6.1法定条件：符合政府采购法第二十二条第一款规定的条件。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6.2特定条件：</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包：1</w:t>
      </w:r>
    </w:p>
    <w:tbl>
      <w:tblPr>
        <w:tblStyle w:val="18"/>
        <w:tblW w:w="85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978"/>
        <w:gridCol w:w="55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5" w:hRule="atLeast"/>
          <w:tblHeader/>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32" w:hRule="atLeast"/>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ascii="宋体" w:hAnsi="宋体" w:eastAsia="宋体" w:cs="宋体"/>
                <w:color w:val="auto"/>
                <w:sz w:val="24"/>
                <w:highlight w:val="none"/>
              </w:rPr>
              <w:t>信用记录查询结果</w:t>
            </w:r>
            <w:r>
              <w:rPr>
                <w:rFonts w:hint="eastAsia" w:ascii="宋体" w:hAnsi="宋体" w:eastAsia="宋体" w:cs="宋体"/>
                <w:color w:val="auto"/>
                <w:sz w:val="24"/>
                <w:highlight w:val="none"/>
              </w:rPr>
              <w:t>补充说明</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通过“信用中国”网站（www.creditchina.gov.cn）、中国政府采购网（www.ccgp.gov.cn）查询投标人信用记录，信用记录查询规则以此处为准。①由资格审查小组通过上述网站查询并打印投标人信用记录（以下简称：“资格审查小组的查询结果”）。②资格审查小组的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本文件中描述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具备履行合同所必需的设备和专业技术能力专项证明材料</w:t>
            </w:r>
            <w:r>
              <w:rPr>
                <w:rFonts w:hint="eastAsia" w:ascii="宋体" w:hAnsi="宋体" w:eastAsia="宋体" w:cs="宋体"/>
                <w:color w:val="auto"/>
                <w:sz w:val="24"/>
                <w:highlight w:val="none"/>
              </w:rPr>
              <w:t>补充说明</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投标人应按照招标文件第七章规定提供“具备履行合同所必需设备和专业技术能力的声明函”</w:t>
            </w:r>
            <w:r>
              <w:rPr>
                <w:rFonts w:hint="eastAsia" w:ascii="宋体" w:hAnsi="宋体" w:eastAsia="宋体" w:cs="宋体"/>
                <w:color w:val="auto"/>
                <w:sz w:val="24"/>
                <w:highlight w:val="none"/>
              </w:rPr>
              <w:t>(本文件中描述与此处不一致的，以此处补充说明为准)</w:t>
            </w:r>
          </w:p>
        </w:tc>
      </w:tr>
    </w:tbl>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包：2</w:t>
      </w:r>
    </w:p>
    <w:tbl>
      <w:tblPr>
        <w:tblStyle w:val="18"/>
        <w:tblW w:w="85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978"/>
        <w:gridCol w:w="55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15" w:hRule="atLeast"/>
          <w:tblHeader/>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32" w:hRule="atLeast"/>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ascii="宋体" w:hAnsi="宋体" w:eastAsia="宋体" w:cs="宋体"/>
                <w:color w:val="auto"/>
                <w:sz w:val="24"/>
                <w:highlight w:val="none"/>
              </w:rPr>
              <w:t>信用记录查询结果</w:t>
            </w:r>
            <w:r>
              <w:rPr>
                <w:rFonts w:hint="eastAsia" w:ascii="宋体" w:hAnsi="宋体" w:eastAsia="宋体" w:cs="宋体"/>
                <w:color w:val="auto"/>
                <w:sz w:val="24"/>
                <w:highlight w:val="none"/>
              </w:rPr>
              <w:t>补充说明</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通过“信用中国”网站（www.creditchina.gov.cn）、中国政府采购网（www.ccgp.gov.cn）查询投标人信用记录，信用记录查询规则以此处为准。①由资格审查小组通过上述网站查询并打印投标人信用记录（以下简称：“资格审查小组的查询结果”）。②资格审查小组的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本文件中描述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具备履行合同所必需的设备和专业技术能力专项证明材料</w:t>
            </w:r>
            <w:r>
              <w:rPr>
                <w:rFonts w:hint="eastAsia" w:ascii="宋体" w:hAnsi="宋体" w:eastAsia="宋体" w:cs="宋体"/>
                <w:color w:val="auto"/>
                <w:sz w:val="24"/>
                <w:highlight w:val="none"/>
              </w:rPr>
              <w:t>补充说明</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投标人应按照招标文件第七章规定提供“具备履行合同所必需设备和专业技术能力的声明函”</w:t>
            </w:r>
            <w:r>
              <w:rPr>
                <w:rFonts w:hint="eastAsia" w:ascii="宋体" w:hAnsi="宋体" w:eastAsia="宋体" w:cs="宋体"/>
                <w:color w:val="auto"/>
                <w:sz w:val="24"/>
                <w:highlight w:val="none"/>
              </w:rPr>
              <w:t>(本文件中描述与此处不一致的，以此处补充说明为准)</w:t>
            </w:r>
          </w:p>
        </w:tc>
      </w:tr>
    </w:tbl>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6.3是否接受联合体投标：不接受。</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※根据上述资格要求，投标文件中应提交的“投标人的资格及资信证明文件”详见招标文件第四章。</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7、报名</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7.1报名期限：详见招标公告或更正公告（若有），若不一致，以更正公告（若有）为准。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20"/>
          <w:rFonts w:hint="eastAsia" w:ascii="宋体" w:hAnsi="宋体" w:eastAsia="宋体" w:cs="宋体"/>
          <w:color w:val="auto"/>
          <w:highlight w:val="none"/>
        </w:rPr>
        <w:t>投标将被拒绝。</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8、招标文件的获取</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8.1招标文件提供期限：详见招标公告或更正公告（若有），若不一致，以更正公告（若有）为准。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8.2获取地点及方式：报名后，通过福建省政府采购网上公开信息系统以下载方式获取。</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8.3、招标文件售价：0元。</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9、投标截止</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9.1投标截止时间：详见招标公告或更正公告（若有），若不一致，以更正公告（若有）为准。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9.2投标人应在投标截止时间前按照福建省政府采购网上公开信息系统设定的操作流程将电子投标文件上传至福建省政府采购网上公开信息系统，同时将</w:t>
      </w:r>
      <w:r>
        <w:rPr>
          <w:rStyle w:val="20"/>
          <w:rFonts w:hint="eastAsia" w:ascii="宋体" w:hAnsi="宋体" w:eastAsia="宋体" w:cs="宋体"/>
          <w:color w:val="auto"/>
          <w:highlight w:val="none"/>
        </w:rPr>
        <w:t>投标人的CA证书</w:t>
      </w:r>
      <w:r>
        <w:rPr>
          <w:rFonts w:hint="eastAsia" w:ascii="宋体" w:hAnsi="宋体" w:eastAsia="宋体" w:cs="宋体"/>
          <w:color w:val="auto"/>
          <w:highlight w:val="none"/>
        </w:rPr>
        <w:t>连同</w:t>
      </w:r>
      <w:r>
        <w:rPr>
          <w:rStyle w:val="20"/>
          <w:rFonts w:hint="eastAsia" w:ascii="宋体" w:hAnsi="宋体" w:eastAsia="宋体" w:cs="宋体"/>
          <w:color w:val="auto"/>
          <w:highlight w:val="none"/>
        </w:rPr>
        <w:t>密封的纸质投标文件</w:t>
      </w:r>
      <w:r>
        <w:rPr>
          <w:rFonts w:hint="eastAsia" w:ascii="宋体" w:hAnsi="宋体" w:eastAsia="宋体" w:cs="宋体"/>
          <w:color w:val="auto"/>
          <w:highlight w:val="none"/>
        </w:rPr>
        <w:t>送达招标文件第一章第10条载明的地点，否则</w:t>
      </w:r>
      <w:r>
        <w:rPr>
          <w:rStyle w:val="20"/>
          <w:rFonts w:hint="eastAsia" w:ascii="宋体" w:hAnsi="宋体" w:eastAsia="宋体" w:cs="宋体"/>
          <w:color w:val="auto"/>
          <w:highlight w:val="none"/>
        </w:rPr>
        <w:t>投标将被拒绝。</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10、开标时间及地点：详见招标公告或更正公告（若有），若不一致，以更正公告（若有）为准。</w:t>
      </w:r>
      <w:r>
        <w:rPr>
          <w:rStyle w:val="20"/>
          <w:rFonts w:hint="eastAsia" w:ascii="宋体" w:hAnsi="宋体" w:eastAsia="宋体" w:cs="宋体"/>
          <w:color w:val="auto"/>
          <w:highlight w:val="none"/>
        </w:rPr>
        <w:t xml:space="preserve"> </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11、公告期限</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11.1招标公告的公告期限：自财政部和福建省财政厅指定的政府采购信息发布媒体最先发布公告之日起5个工作日。</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11.2招标文件公告期限：招标文件随同招标公告一并发布，其公告期限与本章第11.1条载明的期限保持一致。</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12、采购人：福州市台江区城市管理局</w:t>
      </w:r>
    </w:p>
    <w:p>
      <w:pPr>
        <w:pStyle w:val="14"/>
        <w:widowControl/>
        <w:spacing w:before="75" w:beforeAutospacing="0" w:after="75" w:afterAutospacing="0"/>
        <w:ind w:firstLine="1024" w:firstLineChars="427"/>
        <w:rPr>
          <w:rFonts w:ascii="宋体" w:hAnsi="宋体" w:eastAsia="宋体" w:cs="宋体"/>
          <w:color w:val="auto"/>
          <w:highlight w:val="none"/>
        </w:rPr>
      </w:pPr>
      <w:r>
        <w:rPr>
          <w:rFonts w:hint="eastAsia" w:ascii="宋体" w:hAnsi="宋体" w:eastAsia="宋体" w:cs="宋体"/>
          <w:color w:val="auto"/>
          <w:highlight w:val="none"/>
        </w:rPr>
        <w:t xml:space="preserve">地址：台江区宁化街道德榜路79号市政工程中心7楼 </w:t>
      </w:r>
    </w:p>
    <w:p>
      <w:pPr>
        <w:pStyle w:val="14"/>
        <w:widowControl/>
        <w:spacing w:before="75" w:beforeAutospacing="0" w:after="75" w:afterAutospacing="0"/>
        <w:ind w:firstLine="1024" w:firstLineChars="427"/>
        <w:rPr>
          <w:rFonts w:ascii="宋体" w:hAnsi="宋体" w:eastAsia="宋体" w:cs="宋体"/>
          <w:color w:val="auto"/>
          <w:highlight w:val="none"/>
        </w:rPr>
      </w:pPr>
      <w:r>
        <w:rPr>
          <w:rFonts w:hint="eastAsia" w:ascii="宋体" w:hAnsi="宋体" w:eastAsia="宋体" w:cs="宋体"/>
          <w:color w:val="auto"/>
          <w:highlight w:val="none"/>
        </w:rPr>
        <w:t xml:space="preserve">联系方法：0591-83202236 </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13、代理机构：福建省招标中心有限责任公司</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地址：福州市鼓楼区洪山园路68号招标大厦C座6层</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联系方法：0591-87554218</w:t>
      </w:r>
    </w:p>
    <w:p>
      <w:pPr>
        <w:pStyle w:val="14"/>
        <w:widowControl/>
        <w:spacing w:before="75" w:beforeAutospacing="0" w:after="75" w:afterAutospacing="0"/>
        <w:outlineLvl w:val="1"/>
        <w:rPr>
          <w:rFonts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附1：账户信息</w:t>
      </w:r>
    </w:p>
    <w:tbl>
      <w:tblPr>
        <w:tblStyle w:val="1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9620"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9620" w:type="dxa"/>
            <w:shd w:val="clear" w:color="auto" w:fill="auto"/>
            <w:tcMar>
              <w:top w:w="0" w:type="dxa"/>
              <w:left w:w="105" w:type="dxa"/>
              <w:bottom w:w="0" w:type="dxa"/>
              <w:right w:w="105" w:type="dxa"/>
            </w:tcMa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开户名称：</w:t>
            </w:r>
            <w:r>
              <w:rPr>
                <w:rFonts w:hint="eastAsia" w:ascii="宋体" w:hAnsi="宋体" w:eastAsia="宋体" w:cs="宋体"/>
                <w:color w:val="auto"/>
                <w:highlight w:val="none"/>
                <w:u w:val="single"/>
                <w:shd w:val="clear" w:color="auto" w:fill="FFFFFF"/>
              </w:rPr>
              <w:t>福建省招标中心有限责任公司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9" w:hRule="atLeast"/>
          <w:jc w:val="center"/>
        </w:trPr>
        <w:tc>
          <w:tcPr>
            <w:tcW w:w="9620" w:type="dxa"/>
            <w:shd w:val="clear" w:color="auto" w:fill="auto"/>
            <w:tcMar>
              <w:top w:w="0" w:type="dxa"/>
              <w:left w:w="105" w:type="dxa"/>
              <w:bottom w:w="0" w:type="dxa"/>
              <w:right w:w="105" w:type="dxa"/>
            </w:tcMa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开户银行：供应商在福建省政府采购网上公开信息系统报名后，根据其提示自行选择要缴交的投标保证金托管银行。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9" w:hRule="atLeast"/>
          <w:jc w:val="center"/>
        </w:trPr>
        <w:tc>
          <w:tcPr>
            <w:tcW w:w="9620" w:type="dxa"/>
            <w:shd w:val="clear" w:color="auto" w:fill="auto"/>
            <w:tcMar>
              <w:top w:w="0" w:type="dxa"/>
              <w:left w:w="105" w:type="dxa"/>
              <w:bottom w:w="0" w:type="dxa"/>
              <w:right w:w="105" w:type="dxa"/>
            </w:tcMa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9620"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8" w:hRule="atLeast"/>
          <w:jc w:val="center"/>
        </w:trPr>
        <w:tc>
          <w:tcPr>
            <w:tcW w:w="9620" w:type="dxa"/>
            <w:shd w:val="clear" w:color="auto" w:fill="auto"/>
            <w:tcMar>
              <w:top w:w="0" w:type="dxa"/>
              <w:left w:w="105" w:type="dxa"/>
              <w:bottom w:w="0" w:type="dxa"/>
              <w:right w:w="105" w:type="dxa"/>
            </w:tcMa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1、投标人应认真核对账户信息，将投标保证金汇入以上账户，并自行承担因汇错投标保证金而产生的一切后果。</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2、投标人在转账或电汇的凭证上应按照以下格式注明，以便核对：“（招标编号：***、合同包：***）的投标保证金”。</w:t>
            </w:r>
          </w:p>
        </w:tc>
      </w:tr>
    </w:tbl>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outlineLvl w:val="1"/>
        <w:rPr>
          <w:rFonts w:ascii="宋体" w:hAnsi="宋体" w:eastAsia="宋体" w:cs="宋体"/>
          <w:color w:val="auto"/>
          <w:highlight w:val="none"/>
        </w:rPr>
      </w:pPr>
      <w:r>
        <w:rPr>
          <w:rFonts w:hint="eastAsia" w:ascii="宋体" w:hAnsi="宋体" w:eastAsia="宋体" w:cs="宋体"/>
          <w:color w:val="auto"/>
          <w:highlight w:val="none"/>
        </w:rPr>
        <w:t>附2：采购标的一览表</w:t>
      </w:r>
    </w:p>
    <w:p>
      <w:pPr>
        <w:pStyle w:val="14"/>
        <w:widowControl/>
        <w:spacing w:before="75" w:beforeAutospacing="0" w:after="75" w:afterAutospacing="0"/>
        <w:rPr>
          <w:rFonts w:ascii="宋体" w:hAnsi="宋体" w:eastAsia="宋体" w:cs="宋体"/>
          <w:color w:val="auto"/>
          <w:highlight w:val="none"/>
        </w:rPr>
      </w:pPr>
    </w:p>
    <w:p>
      <w:pPr>
        <w:pStyle w:val="14"/>
        <w:widowControl/>
        <w:spacing w:beforeAutospacing="0" w:after="150" w:afterAutospacing="0"/>
        <w:jc w:val="right"/>
        <w:rPr>
          <w:rFonts w:ascii="宋体" w:hAnsi="宋体" w:eastAsia="宋体" w:cs="宋体"/>
          <w:color w:val="auto"/>
          <w:highlight w:val="none"/>
        </w:rPr>
      </w:pPr>
      <w:r>
        <w:rPr>
          <w:rFonts w:hint="eastAsia" w:ascii="宋体" w:hAnsi="宋体" w:eastAsia="宋体" w:cs="宋体"/>
          <w:color w:val="auto"/>
          <w:highlight w:val="none"/>
        </w:rPr>
        <w:t>金额单位：人民币元</w:t>
      </w:r>
    </w:p>
    <w:tbl>
      <w:tblPr>
        <w:tblStyle w:val="18"/>
        <w:tblW w:w="95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07"/>
        <w:gridCol w:w="882"/>
        <w:gridCol w:w="1657"/>
        <w:gridCol w:w="876"/>
        <w:gridCol w:w="1000"/>
        <w:gridCol w:w="1599"/>
        <w:gridCol w:w="1519"/>
        <w:gridCol w:w="9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5" w:hRule="atLeast"/>
          <w:tblHeader/>
          <w:jc w:val="center"/>
        </w:trPr>
        <w:tc>
          <w:tcPr>
            <w:tcW w:w="100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合同包</w:t>
            </w:r>
          </w:p>
        </w:tc>
        <w:tc>
          <w:tcPr>
            <w:tcW w:w="8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品目号</w:t>
            </w:r>
          </w:p>
        </w:tc>
        <w:tc>
          <w:tcPr>
            <w:tcW w:w="165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采购标的</w:t>
            </w:r>
          </w:p>
        </w:tc>
        <w:tc>
          <w:tcPr>
            <w:tcW w:w="87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允许进口</w:t>
            </w:r>
          </w:p>
        </w:tc>
        <w:tc>
          <w:tcPr>
            <w:tcW w:w="10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数量</w:t>
            </w:r>
          </w:p>
        </w:tc>
        <w:tc>
          <w:tcPr>
            <w:tcW w:w="15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品目号预算</w:t>
            </w:r>
          </w:p>
        </w:tc>
        <w:tc>
          <w:tcPr>
            <w:tcW w:w="15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合同包预算</w:t>
            </w:r>
          </w:p>
        </w:tc>
        <w:tc>
          <w:tcPr>
            <w:tcW w:w="9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100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6014"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8"/>
              <w:tblW w:w="5879"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1730"/>
              <w:gridCol w:w="898"/>
              <w:gridCol w:w="950"/>
              <w:gridCol w:w="1534"/>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650" w:hRule="atLeast"/>
                <w:jc w:val="center"/>
              </w:trPr>
              <w:tc>
                <w:tcPr>
                  <w:tcW w:w="7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17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sz w:val="24"/>
                      <w:highlight w:val="none"/>
                    </w:rPr>
                    <w:t>55座公厕管养及5座公厕和2座转运站污水抽吸转运</w:t>
                  </w:r>
                </w:p>
              </w:tc>
              <w:tc>
                <w:tcPr>
                  <w:tcW w:w="89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否</w:t>
                  </w:r>
                </w:p>
              </w:tc>
              <w:tc>
                <w:tcPr>
                  <w:tcW w:w="9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sz w:val="24"/>
                      <w:highlight w:val="none"/>
                    </w:rPr>
                    <w:t>3（年）</w:t>
                  </w:r>
                </w:p>
              </w:tc>
              <w:tc>
                <w:tcPr>
                  <w:tcW w:w="153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sz w:val="24"/>
                      <w:highlight w:val="none"/>
                    </w:rPr>
                    <w:t>23331438</w:t>
                  </w:r>
                </w:p>
              </w:tc>
            </w:tr>
          </w:tbl>
          <w:p>
            <w:pPr>
              <w:jc w:val="center"/>
              <w:rPr>
                <w:rFonts w:ascii="宋体" w:hAnsi="宋体" w:eastAsia="宋体" w:cs="宋体"/>
                <w:color w:val="auto"/>
                <w:sz w:val="24"/>
                <w:highlight w:val="none"/>
              </w:rPr>
            </w:pPr>
          </w:p>
        </w:tc>
        <w:tc>
          <w:tcPr>
            <w:tcW w:w="15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sz w:val="24"/>
                <w:highlight w:val="none"/>
              </w:rPr>
              <w:t>23331438</w:t>
            </w:r>
          </w:p>
        </w:tc>
        <w:tc>
          <w:tcPr>
            <w:tcW w:w="9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sz w:val="24"/>
                <w:highlight w:val="none"/>
              </w:rPr>
              <w:t>460000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100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2</w:t>
            </w:r>
          </w:p>
        </w:tc>
        <w:tc>
          <w:tcPr>
            <w:tcW w:w="6014"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8"/>
              <w:tblW w:w="5912"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811"/>
              <w:gridCol w:w="1702"/>
              <w:gridCol w:w="882"/>
              <w:gridCol w:w="950"/>
              <w:gridCol w:w="156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650" w:hRule="atLeast"/>
                <w:jc w:val="center"/>
              </w:trPr>
              <w:tc>
                <w:tcPr>
                  <w:tcW w:w="81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sz w:val="24"/>
                      <w:highlight w:val="none"/>
                    </w:rPr>
                    <w:t>55座公厕管养及2座公厕和2座转运站污水抽吸转运</w:t>
                  </w:r>
                </w:p>
              </w:tc>
              <w:tc>
                <w:tcPr>
                  <w:tcW w:w="8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否</w:t>
                  </w:r>
                </w:p>
              </w:tc>
              <w:tc>
                <w:tcPr>
                  <w:tcW w:w="9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sz w:val="24"/>
                      <w:highlight w:val="none"/>
                    </w:rPr>
                    <w:t>3（年）</w:t>
                  </w:r>
                </w:p>
              </w:tc>
              <w:tc>
                <w:tcPr>
                  <w:tcW w:w="1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sz w:val="24"/>
                      <w:highlight w:val="none"/>
                    </w:rPr>
                    <w:t>23607717</w:t>
                  </w:r>
                </w:p>
              </w:tc>
            </w:tr>
          </w:tbl>
          <w:p>
            <w:pPr>
              <w:jc w:val="center"/>
              <w:rPr>
                <w:rFonts w:ascii="宋体" w:hAnsi="宋体" w:eastAsia="宋体" w:cs="宋体"/>
                <w:color w:val="auto"/>
                <w:sz w:val="24"/>
                <w:highlight w:val="none"/>
              </w:rPr>
            </w:pPr>
          </w:p>
        </w:tc>
        <w:tc>
          <w:tcPr>
            <w:tcW w:w="15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sz w:val="24"/>
                <w:highlight w:val="none"/>
              </w:rPr>
              <w:t>23607717</w:t>
            </w:r>
          </w:p>
        </w:tc>
        <w:tc>
          <w:tcPr>
            <w:tcW w:w="9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sz w:val="24"/>
                <w:highlight w:val="none"/>
              </w:rPr>
              <w:t>470000</w:t>
            </w:r>
          </w:p>
        </w:tc>
      </w:tr>
    </w:tbl>
    <w:p>
      <w:pPr>
        <w:pStyle w:val="14"/>
        <w:widowControl/>
        <w:spacing w:before="75" w:beforeAutospacing="0" w:after="75" w:afterAutospacing="0"/>
        <w:rPr>
          <w:rFonts w:ascii="宋体" w:hAnsi="宋体" w:eastAsia="宋体" w:cs="宋体"/>
          <w:color w:val="auto"/>
          <w:highlight w:val="none"/>
        </w:rPr>
        <w:sectPr>
          <w:pgSz w:w="11906" w:h="16838"/>
          <w:pgMar w:top="1440" w:right="1800" w:bottom="1440" w:left="1800" w:header="851" w:footer="992" w:gutter="0"/>
          <w:cols w:space="425" w:num="1"/>
          <w:docGrid w:type="lines" w:linePitch="312" w:charSpace="0"/>
        </w:sectPr>
      </w:pPr>
    </w:p>
    <w:p>
      <w:pPr>
        <w:pStyle w:val="14"/>
        <w:widowControl/>
        <w:spacing w:before="75" w:beforeAutospacing="0" w:after="75" w:afterAutospacing="0"/>
        <w:jc w:val="center"/>
        <w:outlineLvl w:val="0"/>
        <w:rPr>
          <w:rFonts w:ascii="宋体" w:hAnsi="宋体" w:eastAsia="宋体" w:cs="宋体"/>
          <w:color w:val="auto"/>
          <w:highlight w:val="none"/>
        </w:rPr>
      </w:pPr>
      <w:bookmarkStart w:id="1" w:name="_Toc12284"/>
      <w:r>
        <w:rPr>
          <w:rStyle w:val="20"/>
          <w:rFonts w:hint="eastAsia" w:ascii="宋体" w:hAnsi="宋体" w:eastAsia="宋体" w:cs="宋体"/>
          <w:color w:val="auto"/>
          <w:sz w:val="31"/>
          <w:szCs w:val="31"/>
          <w:highlight w:val="none"/>
        </w:rPr>
        <w:t>第二章   投标人须知前附表（表1、2）</w:t>
      </w:r>
      <w:bookmarkEnd w:id="1"/>
    </w:p>
    <w:p>
      <w:pPr>
        <w:pStyle w:val="14"/>
        <w:widowControl/>
        <w:spacing w:before="75" w:beforeAutospacing="0" w:after="75" w:afterAutospacing="0"/>
        <w:outlineLvl w:val="1"/>
        <w:rPr>
          <w:rFonts w:ascii="宋体" w:hAnsi="宋体" w:eastAsia="宋体" w:cs="宋体"/>
          <w:color w:val="auto"/>
          <w:highlight w:val="none"/>
        </w:rPr>
      </w:pPr>
      <w:r>
        <w:rPr>
          <w:rFonts w:hint="eastAsia" w:ascii="宋体" w:hAnsi="宋体" w:eastAsia="宋体" w:cs="宋体"/>
          <w:color w:val="auto"/>
          <w:highlight w:val="none"/>
        </w:rPr>
        <w:t>表1</w:t>
      </w:r>
    </w:p>
    <w:tbl>
      <w:tblPr>
        <w:tblStyle w:val="1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97"/>
        <w:gridCol w:w="1382"/>
        <w:gridCol w:w="6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16" w:type="dxa"/>
            <w:gridSpan w:val="3"/>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项号</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招标文件</w:t>
            </w:r>
          </w:p>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（第三章）</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6.1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是否组织现场考察或召开开标前答疑会：否</w:t>
            </w:r>
            <w:r>
              <w:rPr>
                <w:rFonts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2</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10.4</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投标文件的份数：</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（1）纸质投标文件：</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①资格及资信证明部分的正本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份，报价部分的正本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份，技术商务部分的正本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②可读介质（光盘或U盘）</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份：投标人应将其上传至福建省政府采购网上公开信息系统的电子投标文件在该可读介质中另存</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（2）电子投标文件：详见表2《关于电子招标投标活动的专门规定》。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3</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10.5-（2）-③</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允许散装或活页装订的内容或材料：</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（1）投标文件的补充、修改或撤回；</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4</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10.7-（1）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是否允许中标人将本项目的非主体、非关键性工作进行分包：</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5</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10.8-（1）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投标有效期</w:t>
            </w:r>
            <w:r>
              <w:rPr>
                <w:rFonts w:hint="eastAsia" w:ascii="宋体" w:hAnsi="宋体" w:eastAsia="宋体" w:cs="宋体"/>
                <w:color w:val="auto"/>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6</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10.10-（2）</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密封及其标记的具体形式：</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（1）全部纸质投标文件（包括正本、副本及可读介质）均应密封，否则</w:t>
            </w:r>
            <w:r>
              <w:rPr>
                <w:rStyle w:val="20"/>
                <w:rFonts w:hint="eastAsia" w:ascii="宋体" w:hAnsi="宋体" w:eastAsia="宋体" w:cs="宋体"/>
                <w:color w:val="auto"/>
                <w:highlight w:val="none"/>
              </w:rPr>
              <w:t>投标将被拒绝。</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（2）密封的外包装应至少标记“项目名称、招标编号、所投合同包、投标人的全称”等内容，否则造成投标文件误投、遗漏或提前拆封的，</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不承担责任。</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7</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12.1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75" w:type="dxa"/>
              <w:left w:w="150" w:type="dxa"/>
              <w:bottom w:w="75" w:type="dxa"/>
              <w:right w:w="15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xml:space="preserve">  8</w:t>
            </w:r>
          </w:p>
        </w:tc>
        <w:tc>
          <w:tcPr>
            <w:tcW w:w="1382" w:type="dxa"/>
            <w:shd w:val="clear" w:color="auto" w:fill="auto"/>
            <w:tcMar>
              <w:top w:w="75" w:type="dxa"/>
              <w:left w:w="150" w:type="dxa"/>
              <w:bottom w:w="75" w:type="dxa"/>
              <w:right w:w="15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xml:space="preserve">  12.2</w:t>
            </w:r>
          </w:p>
        </w:tc>
        <w:tc>
          <w:tcPr>
            <w:tcW w:w="6537" w:type="dxa"/>
            <w:shd w:val="clear" w:color="auto" w:fill="auto"/>
            <w:tcMar>
              <w:top w:w="75" w:type="dxa"/>
              <w:left w:w="150" w:type="dxa"/>
              <w:bottom w:w="75" w:type="dxa"/>
              <w:right w:w="150"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本项目中标人的确定（以合同包为单位）：</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（1）采购人应在政府采购招投标管理办法规定的时限内确定中标人。</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（2）若出现中标候选人并列情形，则按照下列方式确定中标人：</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①无。</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②若本款第①点规定方式为“无”，则按照下列方式确定：无。</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③若本款第①、②点规定方式均为“无”，则按照下列方式确定：随机抽取。</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（3）本项目确定的中标人家数：</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①本项目确定合同包1中标人数为1家；</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9</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xml:space="preserve"> 15.1-（2）</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质疑函原件应采用下列方式提交：</w:t>
            </w:r>
            <w:r>
              <w:rPr>
                <w:rFonts w:hint="eastAsia" w:ascii="宋体" w:hAnsi="宋体" w:eastAsia="宋体" w:cs="宋体"/>
                <w:color w:val="auto"/>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10</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xml:space="preserve">   15.4</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 xml:space="preserve"> </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招标文件的质疑</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（1）潜在投标人可在质疑时效期间内对招标文件以书面形式提出质疑。</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（2）质疑时效期间：</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①在招标文件公告期限内：自招标文件首次下载之日起7个工作日内向</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提出，招标文件公告期限、首次下载之日均以福建省政府采购网上公开信息系统记载的为准。</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②在招标文件公告期限截止后至招标文件提供期限届满前的期间内：自招标文件公告期限届满之日起7个工作日内向</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提出，招标文件公告期限、招标文件提供期限均以福建省政府采购网上公开信息系统记载的为准。</w:t>
            </w:r>
          </w:p>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11</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16.1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监督管理部门：</w:t>
            </w:r>
            <w:r>
              <w:rPr>
                <w:rFonts w:hint="eastAsia" w:ascii="宋体" w:hAnsi="宋体" w:eastAsia="宋体" w:cs="宋体"/>
                <w:color w:val="auto"/>
                <w:highlight w:val="none"/>
              </w:rPr>
              <w:t>福州市台江区财政局</w:t>
            </w:r>
            <w:r>
              <w:rPr>
                <w:rStyle w:val="20"/>
                <w:rFonts w:hint="eastAsia" w:ascii="宋体" w:hAnsi="宋体" w:eastAsia="宋体" w:cs="宋体"/>
                <w:color w:val="auto"/>
                <w:highlight w:val="none"/>
              </w:rPr>
              <w:t>（仅限依法进行政府采购的货物或服务类项目）</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12</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18.1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财政部和福建省财政厅指定的政府采购信息发布媒体（以下简称：“指定媒体”）：</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（1）中国政府采购网，网址www.ccgp.gov.cn。</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（2）中国政府采购网福建分网（福建省政府采购网），网址zfcg.czt.fujian.gov.cn。</w:t>
            </w:r>
          </w:p>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※除招标文件第一章第11.1条规定情形外，若出现上述指定媒体信息不一致情形，应以中国政府采购网福建分网（福建省政府采购网）发布的为准。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13</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19</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其他事项：</w:t>
            </w:r>
          </w:p>
          <w:p>
            <w:pPr>
              <w:pStyle w:val="14"/>
              <w:widowControl/>
              <w:spacing w:beforeAutospacing="0" w:afterAutospacing="0"/>
              <w:rPr>
                <w:rStyle w:val="20"/>
                <w:rFonts w:ascii="宋体" w:hAnsi="宋体" w:eastAsia="宋体" w:cs="宋体"/>
                <w:color w:val="auto"/>
                <w:highlight w:val="none"/>
              </w:rPr>
            </w:pPr>
            <w:r>
              <w:rPr>
                <w:rStyle w:val="20"/>
                <w:rFonts w:hint="eastAsia" w:ascii="宋体" w:hAnsi="宋体" w:eastAsia="宋体" w:cs="宋体"/>
                <w:color w:val="auto"/>
                <w:highlight w:val="none"/>
              </w:rPr>
              <w:t>(1)本项目代理服务费由</w:t>
            </w:r>
            <w:r>
              <w:rPr>
                <w:rFonts w:hint="eastAsia" w:ascii="宋体" w:hAnsi="宋体" w:eastAsia="宋体" w:cs="宋体"/>
                <w:b/>
                <w:color w:val="auto"/>
                <w:highlight w:val="none"/>
                <w:u w:val="single"/>
              </w:rPr>
              <w:t>采购人</w:t>
            </w:r>
            <w:r>
              <w:rPr>
                <w:rStyle w:val="20"/>
                <w:rFonts w:hint="eastAsia" w:ascii="宋体" w:hAnsi="宋体" w:eastAsia="宋体" w:cs="宋体"/>
                <w:color w:val="auto"/>
                <w:highlight w:val="none"/>
              </w:rPr>
              <w:t>支付。</w:t>
            </w:r>
          </w:p>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(2)其他：</w:t>
            </w:r>
            <w:r>
              <w:rPr>
                <w:rFonts w:hint="eastAsia" w:ascii="宋体" w:hAnsi="宋体" w:eastAsia="宋体" w:cs="宋体"/>
                <w:b/>
                <w:color w:val="auto"/>
                <w:highlight w:val="none"/>
              </w:rPr>
              <w:t>①根据《财政部、工业和信息化部关于印发&lt;政府采购促进中小企业发展管理办法&gt;的通知》（财库〔2020〕46号）的文件规定，招标文件中相关条款若与上述文件有冲突的，以《政府采购促进中小企业发展管理办法》（财库〔2020〕46号）文件规定为准。②若因投标人自身原因导致其电子投标文件无法解密的，视为无效投标。</w:t>
            </w:r>
            <w:r>
              <w:rPr>
                <w:rFonts w:ascii="宋体" w:hAnsi="宋体" w:eastAsia="宋体" w:cs="宋体"/>
                <w:b/>
                <w:color w:val="auto"/>
                <w:highlight w:val="none"/>
              </w:rPr>
              <w:t>③</w:t>
            </w:r>
            <w:r>
              <w:rPr>
                <w:rFonts w:hint="eastAsia" w:ascii="宋体" w:hAnsi="宋体" w:eastAsia="宋体" w:cs="宋体"/>
                <w:b/>
                <w:color w:val="auto"/>
                <w:highlight w:val="none"/>
              </w:rPr>
              <w:t>供应商认为采购文件、采购过程、中标或者成交结果使自己的权益受到损害的，可以在知道或者应知其权益受到损害之日起7个工作日内，以书面形式向采购人、采购代理机构提出质疑。针对同一采购程序环节的质疑应在政府采购法及实施条例规定的时限内一次性提出。提出质疑的供应商（以下简称质疑供应商）应当是参与所质疑项目采购活动的供应商。潜在供应商已依法获取其可质疑的采购文件的，可以对该文件提出质疑。对采购文件提出质疑的，应当在获取采购文件或者采购文件公告期限届满之日起7个工作日内提出。若质疑的具体事项按照有关法律、法规和规章规定处于保密阶段，则应提供信息或证明材料为合法或公开渠道获得的有效证据（若证据无法有效表明信息或证明材料为合法或公开渠道获得，则前述信息或证明材料视为无效）。③技术评分项目“实施方案与作业方案、经费测算等情况”“财务成本风险控制情况”与招标文件“技术商务部分中不得出现报价部分的全部或部分的投标报价信息（或组成资料），否则符合性审查不合格”系统模块有矛盾，现修正为“技术商务部分中不得出现报价部分的全部或部分的投标报价信息（技术评分部分要求提供的实施方案与作业方案、经费测算等情况、财务成本风险控制情况除外），否则符合性审查不合格,招标文件对此规定如有矛盾，以此条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9" w:type="dxa"/>
            <w:gridSpan w:val="2"/>
            <w:shd w:val="clear" w:color="auto" w:fill="auto"/>
            <w:tcMar>
              <w:top w:w="75" w:type="dxa"/>
              <w:left w:w="150" w:type="dxa"/>
              <w:bottom w:w="75" w:type="dxa"/>
              <w:right w:w="15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xml:space="preserve">     备注</w:t>
            </w:r>
          </w:p>
        </w:tc>
        <w:tc>
          <w:tcPr>
            <w:tcW w:w="6537" w:type="dxa"/>
            <w:shd w:val="clear" w:color="auto" w:fill="auto"/>
            <w:tcMar>
              <w:top w:w="75" w:type="dxa"/>
              <w:left w:w="150" w:type="dxa"/>
              <w:bottom w:w="75" w:type="dxa"/>
              <w:right w:w="150" w:type="dxa"/>
            </w:tcMar>
            <w:vAlign w:val="center"/>
          </w:tcPr>
          <w:p>
            <w:pPr>
              <w:pStyle w:val="14"/>
              <w:widowControl/>
              <w:spacing w:beforeAutospacing="0" w:afterAutospacing="0"/>
              <w:rPr>
                <w:rFonts w:ascii="宋体" w:hAnsi="宋体" w:eastAsia="宋体" w:cs="宋体"/>
                <w:color w:val="auto"/>
                <w:highlight w:val="none"/>
              </w:rPr>
            </w:pPr>
            <w:r>
              <w:rPr>
                <w:rStyle w:val="20"/>
                <w:rFonts w:hint="eastAsia" w:ascii="宋体" w:hAnsi="宋体" w:eastAsia="宋体" w:cs="宋体"/>
                <w:color w:val="auto"/>
                <w:highlight w:val="none"/>
              </w:rPr>
              <w:t>后有表2，请勿遗漏。</w:t>
            </w:r>
          </w:p>
        </w:tc>
      </w:tr>
    </w:tbl>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outlineLvl w:val="1"/>
        <w:rPr>
          <w:rFonts w:ascii="宋体" w:hAnsi="宋体" w:eastAsia="宋体" w:cs="宋体"/>
          <w:color w:val="auto"/>
          <w:highlight w:val="none"/>
        </w:rPr>
      </w:pPr>
      <w:r>
        <w:rPr>
          <w:rFonts w:hint="eastAsia" w:ascii="宋体" w:hAnsi="宋体" w:eastAsia="宋体" w:cs="宋体"/>
          <w:color w:val="auto"/>
          <w:highlight w:val="none"/>
        </w:rPr>
        <w:t>表2</w:t>
      </w:r>
    </w:p>
    <w:tbl>
      <w:tblPr>
        <w:tblStyle w:val="18"/>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7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15" w:type="dxa"/>
            <w:gridSpan w:val="2"/>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758"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序号</w:t>
            </w:r>
          </w:p>
        </w:tc>
        <w:tc>
          <w:tcPr>
            <w:tcW w:w="775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758"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w:t>
            </w:r>
          </w:p>
        </w:tc>
        <w:tc>
          <w:tcPr>
            <w:tcW w:w="775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（1）招标文件中除下述第（2）、（3）款所述内容外的其他内容及规定适用本项目的电子招标投标活动。</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（2）将招标文件</w:t>
            </w:r>
            <w:r>
              <w:rPr>
                <w:rFonts w:hint="eastAsia" w:ascii="宋体" w:hAnsi="宋体" w:eastAsia="宋体" w:cs="宋体"/>
                <w:color w:val="auto"/>
                <w:highlight w:val="none"/>
                <w:u w:val="single"/>
              </w:rPr>
              <w:t>无</w:t>
            </w:r>
            <w:r>
              <w:rPr>
                <w:rFonts w:hint="eastAsia" w:ascii="宋体" w:hAnsi="宋体" w:eastAsia="宋体" w:cs="宋体"/>
                <w:color w:val="auto"/>
                <w:highlight w:val="none"/>
              </w:rPr>
              <w:t>的内容</w:t>
            </w:r>
            <w:r>
              <w:rPr>
                <w:rStyle w:val="20"/>
                <w:rFonts w:hint="eastAsia" w:ascii="宋体" w:hAnsi="宋体" w:eastAsia="宋体" w:cs="宋体"/>
                <w:color w:val="auto"/>
                <w:highlight w:val="none"/>
              </w:rPr>
              <w:t>修正为</w:t>
            </w:r>
            <w:r>
              <w:rPr>
                <w:rFonts w:hint="eastAsia" w:ascii="宋体" w:hAnsi="宋体" w:eastAsia="宋体" w:cs="宋体"/>
                <w:color w:val="auto"/>
                <w:highlight w:val="none"/>
              </w:rPr>
              <w:t>下列内容：</w:t>
            </w:r>
            <w:r>
              <w:rPr>
                <w:rFonts w:hint="eastAsia" w:ascii="宋体" w:hAnsi="宋体" w:eastAsia="宋体" w:cs="宋体"/>
                <w:color w:val="auto"/>
                <w:highlight w:val="none"/>
                <w:u w:val="single"/>
              </w:rPr>
              <w:t>无</w:t>
            </w:r>
            <w:r>
              <w:rPr>
                <w:rFonts w:hint="eastAsia" w:ascii="宋体" w:hAnsi="宋体" w:eastAsia="宋体" w:cs="宋体"/>
                <w:color w:val="auto"/>
                <w:highlight w:val="none"/>
              </w:rPr>
              <w:t>后适用本项目的电子招标投标活动。</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（3）将下列内容</w:t>
            </w:r>
            <w:r>
              <w:rPr>
                <w:rStyle w:val="20"/>
                <w:rFonts w:hint="eastAsia" w:ascii="宋体" w:hAnsi="宋体" w:eastAsia="宋体" w:cs="宋体"/>
                <w:color w:val="auto"/>
                <w:highlight w:val="none"/>
              </w:rPr>
              <w:t>增列为</w:t>
            </w:r>
            <w:r>
              <w:rPr>
                <w:rFonts w:hint="eastAsia" w:ascii="宋体" w:hAnsi="宋体" w:eastAsia="宋体" w:cs="宋体"/>
                <w:color w:val="auto"/>
                <w:highlight w:val="none"/>
              </w:rPr>
              <w:t>招标文件的组成部分（以下简称：“增列内容”）适用本项目的电子招标投标活动，若增列内容与招标文件其他章节内容有冲突，应以增列内容为准：</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①电子招标投标活动的具体操作流程以福建省政府采购网上公开信息系统设定的为准。</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②关于投标文件：</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a.投标人应按照福建省政府采购网上公开信息系统设定的评审节点编制电子投标文件，否则</w:t>
            </w:r>
            <w:r>
              <w:rPr>
                <w:rStyle w:val="20"/>
                <w:rFonts w:hint="eastAsia" w:ascii="宋体" w:hAnsi="宋体" w:eastAsia="宋体" w:cs="宋体"/>
                <w:color w:val="auto"/>
                <w:highlight w:val="none"/>
              </w:rPr>
              <w:t>资格审查小组、评标委员会将按照不利于投标人的内容进行认定。</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b.投标人应在投标截止时间前按照福建省政府采购网上公开信息系统设定的操作流程将电子投标文件</w:t>
            </w:r>
            <w:r>
              <w:rPr>
                <w:rStyle w:val="20"/>
                <w:rFonts w:hint="eastAsia" w:ascii="宋体" w:hAnsi="宋体" w:eastAsia="宋体" w:cs="宋体"/>
                <w:color w:val="auto"/>
                <w:highlight w:val="none"/>
                <w:u w:val="single"/>
              </w:rPr>
              <w:t>1</w:t>
            </w:r>
            <w:r>
              <w:rPr>
                <w:rFonts w:hint="eastAsia" w:ascii="宋体" w:hAnsi="宋体" w:eastAsia="宋体" w:cs="宋体"/>
                <w:color w:val="auto"/>
                <w:highlight w:val="none"/>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c.若出现福建省政府采购网上公开信息系统设定的意外情形（如：系统故障等），经本项目监督管理部门同意使用纸质投标文件的，应以纸质投标文件为准。</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③关于证明材料或资料：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a.除《检察机关行贿犯罪档案查询结果告知函》外，招标文件要求原件的，投标人在电子投标文件中可提供复印件（含扫描件），但在纸质投标文件正本中应提供原件</w:t>
            </w:r>
            <w:r>
              <w:rPr>
                <w:rStyle w:val="20"/>
                <w:rFonts w:hint="eastAsia" w:ascii="宋体" w:hAnsi="宋体" w:eastAsia="宋体" w:cs="宋体"/>
                <w:color w:val="auto"/>
                <w:highlight w:val="none"/>
              </w:rPr>
              <w:t>（资格审查小组、评标委员会将核对纸质投标文件正本，未提供原件的证明材料或资料将导致投标无效）</w:t>
            </w:r>
            <w:r>
              <w:rPr>
                <w:rFonts w:hint="eastAsia" w:ascii="宋体" w:hAnsi="宋体" w:eastAsia="宋体" w:cs="宋体"/>
                <w:color w:val="auto"/>
                <w:highlight w:val="none"/>
              </w:rPr>
              <w:t>；招标文件要求复印件的，投标人在纸质投标文件中提供原件、复印件（含扫描件）皆可；招标文件对原件、复印件未作要求的，投标人在纸质投标文件中提供原件、复印件（含扫描件）皆可。</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b.除《检察机关行贿犯罪档案查询结果告知函》外，若投标人提供注明“复印件无效”的证明材料或资料，其纸质投标文件正本中应提供原件</w:t>
            </w:r>
            <w:r>
              <w:rPr>
                <w:rStyle w:val="20"/>
                <w:rFonts w:hint="eastAsia" w:ascii="宋体" w:hAnsi="宋体" w:eastAsia="宋体" w:cs="宋体"/>
                <w:color w:val="auto"/>
                <w:highlight w:val="none"/>
              </w:rPr>
              <w:t>（资格审查小组、评标委员会将核对纸质投标文件正本，未提供原件的证明材料或资料将导致投标无效）。</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c.《检察机关行贿犯罪档案查询结果告知函》</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c1投标人在电子投标文件中可提供复印件（含扫描件）、符合招标文件第七章规定的打印件（或截图），在纸质投标文件正本中提供原件、复印件（含扫描件）、符合招标文件第七章规定的打印件（或截图）皆可。</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c2《检察机关行贿犯罪档案查询结果告知函》应在有效期内且内容完整、清晰、整洁，否则</w:t>
            </w:r>
            <w:r>
              <w:rPr>
                <w:rStyle w:val="20"/>
                <w:rFonts w:hint="eastAsia" w:ascii="宋体" w:hAnsi="宋体" w:eastAsia="宋体" w:cs="宋体"/>
                <w:color w:val="auto"/>
                <w:highlight w:val="none"/>
              </w:rPr>
              <w:t>投标无效。</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c3有效期内的《检察机关行贿犯罪档案查询结果告知函》复印件（含扫描件）及符合招标文件第七章规定的打印件（或截图），无论内容中是否注明“复印件无效”，</w:t>
            </w:r>
            <w:r>
              <w:rPr>
                <w:rStyle w:val="20"/>
                <w:rFonts w:hint="eastAsia" w:ascii="宋体" w:hAnsi="宋体" w:eastAsia="宋体" w:cs="宋体"/>
                <w:color w:val="auto"/>
                <w:highlight w:val="none"/>
              </w:rPr>
              <w:t>均视同有效。</w:t>
            </w:r>
          </w:p>
          <w:p>
            <w:pPr>
              <w:pStyle w:val="14"/>
              <w:widowControl/>
              <w:spacing w:beforeAutospacing="0" w:afterAutospacing="0"/>
              <w:rPr>
                <w:rFonts w:ascii="宋体" w:hAnsi="宋体" w:eastAsia="宋体" w:cs="宋体"/>
                <w:color w:val="auto"/>
                <w:highlight w:val="none"/>
              </w:rPr>
            </w:pP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④关于“全称”、“投标人代表签字”及“加盖单位公章”：</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a.在电子投标文件中，涉及“全称”和“投标人代表签字”的内容可使用打字录入方式完成。</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b.在电子投标文件中，涉及“加盖单位公章”的内容应使用投标人的CA证书完成，否则</w:t>
            </w:r>
            <w:r>
              <w:rPr>
                <w:rStyle w:val="20"/>
                <w:rFonts w:hint="eastAsia" w:ascii="宋体" w:hAnsi="宋体" w:eastAsia="宋体" w:cs="宋体"/>
                <w:color w:val="auto"/>
                <w:highlight w:val="none"/>
              </w:rPr>
              <w:t>投标无效。</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c.在电子投标文件中，若投标人按照本增列内容第④点第b项规定加盖其单位公章，则出现无全称、或投标人代表未签字等情形，</w:t>
            </w:r>
            <w:r>
              <w:rPr>
                <w:rStyle w:val="20"/>
                <w:rFonts w:hint="eastAsia" w:ascii="宋体" w:hAnsi="宋体" w:eastAsia="宋体" w:cs="宋体"/>
                <w:color w:val="auto"/>
                <w:highlight w:val="none"/>
              </w:rPr>
              <w:t>不视为投标无效。</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⑤关于投标人的CA证书：</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a.投标人的CA证书应在投标截止时间前连同密封的纸质投标文件送达招标文件第一章第10条载明的地点，否则</w:t>
            </w:r>
            <w:r>
              <w:rPr>
                <w:rStyle w:val="20"/>
                <w:rFonts w:hint="eastAsia" w:ascii="宋体" w:hAnsi="宋体" w:eastAsia="宋体" w:cs="宋体"/>
                <w:color w:val="auto"/>
                <w:highlight w:val="none"/>
              </w:rPr>
              <w:t>投标将被拒绝。</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b.投标人的CA证书可采用信封（包括但不限于：信封、档案袋、文件袋等）作为外包装进行单独包装。外包装密封、不密封皆可。</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c.投标人的CA证书或外包装应标记“项目名称、招标编号、投标人的全称”等内容，以方便识别、使用。</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d.投标人的CA证书应能正常、有效使用，否则产生不利后果由投标人承担责任。</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⑥关于投标截止时间过后</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a.被福建省政府采购网上公开信息系统判定为投标保证金未提交（即未于投标截止时间前到达招标文件载明的投标保证金账户）的投标人，</w:t>
            </w:r>
            <w:r>
              <w:rPr>
                <w:rStyle w:val="20"/>
                <w:rFonts w:hint="eastAsia" w:ascii="宋体" w:hAnsi="宋体" w:eastAsia="宋体" w:cs="宋体"/>
                <w:color w:val="auto"/>
                <w:highlight w:val="none"/>
              </w:rPr>
              <w:t>投标将被拒绝。</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b.有下列情形之一的，其</w:t>
            </w:r>
            <w:r>
              <w:rPr>
                <w:rStyle w:val="20"/>
                <w:rFonts w:hint="eastAsia" w:ascii="宋体" w:hAnsi="宋体" w:eastAsia="宋体" w:cs="宋体"/>
                <w:color w:val="auto"/>
                <w:highlight w:val="none"/>
              </w:rPr>
              <w:t>投标无效</w:t>
            </w:r>
            <w:r>
              <w:rPr>
                <w:rFonts w:hint="eastAsia" w:ascii="宋体" w:hAnsi="宋体" w:eastAsia="宋体" w:cs="宋体"/>
                <w:color w:val="auto"/>
                <w:highlight w:val="none"/>
              </w:rPr>
              <w:t>,其保证金不予退还：</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b1不同投标人的电子投标文件被福建省政府采购网上公开信息系统判定为具有相同内部识别码；</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b2不同投标人的投标保证金被福建省政府采购网上公开信息系统判定为从同一单位或个人的账户转出；</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b3投标人的投标保证金被福建省政府采购网上公开信息系统判定为同一合同项下有其他投标人提交的投标保证金</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b4不同投标人被福建省政府采购网上公开信息系统判定为串通投标的其他情形。</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⑦接受联合体投标且投标人为联合体的，投标人应由“联合体牵头方”完成福建省政府采购网上公开信息系统设定的具体操作流程（包括但不限于：报名、提交投标保证金、编制电子投标文件等）。</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⑧其他：无。</w:t>
            </w:r>
          </w:p>
        </w:tc>
      </w:tr>
    </w:tbl>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both"/>
        <w:rPr>
          <w:rStyle w:val="20"/>
          <w:rFonts w:ascii="宋体" w:hAnsi="宋体" w:eastAsia="宋体" w:cs="宋体"/>
          <w:color w:val="auto"/>
          <w:sz w:val="31"/>
          <w:szCs w:val="31"/>
          <w:highlight w:val="none"/>
        </w:rPr>
      </w:pPr>
      <w:r>
        <w:rPr>
          <w:rStyle w:val="20"/>
          <w:rFonts w:hint="eastAsia" w:ascii="宋体" w:hAnsi="宋体" w:eastAsia="宋体" w:cs="宋体"/>
          <w:color w:val="auto"/>
          <w:sz w:val="31"/>
          <w:szCs w:val="31"/>
          <w:highlight w:val="none"/>
        </w:rPr>
        <w:br w:type="page"/>
      </w:r>
    </w:p>
    <w:p>
      <w:pPr>
        <w:pStyle w:val="14"/>
        <w:widowControl/>
        <w:spacing w:before="75" w:beforeAutospacing="0" w:after="75" w:afterAutospacing="0"/>
        <w:jc w:val="center"/>
        <w:outlineLvl w:val="0"/>
        <w:rPr>
          <w:rFonts w:ascii="宋体" w:hAnsi="宋体" w:eastAsia="宋体" w:cs="宋体"/>
          <w:color w:val="auto"/>
          <w:highlight w:val="none"/>
        </w:rPr>
      </w:pPr>
      <w:bookmarkStart w:id="2" w:name="_Toc3119"/>
      <w:r>
        <w:rPr>
          <w:rStyle w:val="20"/>
          <w:rFonts w:hint="eastAsia" w:ascii="宋体" w:hAnsi="宋体" w:eastAsia="宋体" w:cs="宋体"/>
          <w:color w:val="auto"/>
          <w:sz w:val="31"/>
          <w:szCs w:val="31"/>
          <w:highlight w:val="none"/>
        </w:rPr>
        <w:t>第三章   投标人须知</w:t>
      </w:r>
      <w:bookmarkEnd w:id="2"/>
    </w:p>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一、总则</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1、适用范围</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1.1适用于招标文件载明项目的政府采购活动（以下简称：“本次采购活动”）。</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2、定义</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2.1“采购标的”指招标文件载明的需要采购的货物或服务。</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2.2“潜在投标人”指按照招标文件第一章第7条规定进行报名且有意向参加本项目投标的供应商。</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2.3“投标人”指按照招标文件第一章第7条规定进行报名并参加本项目投标的供应商。</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2.4“单位负责人”指单位法定代表人或法律、法规规定代表单位行使职权的主要负责人。</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2.5“投标人代表”指投标人的单位负责人或“单位负责人授权书”中载明的接受授权方。</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二、投标人</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3、合格投标人</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3.1一般规定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（1）投标人应遵守政府采购法及实施条例、政府采购招投标管理办法、政府采购质疑和投诉办法及财政部、福建省财政厅有关政府采购文件的规定，同时还应遵守有关法律、法规和规章的强制性规定。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（2）投标人的资格要求：详见招标文件第一章。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3.2若本项目接受联合体投标且投标人为联合体，则联合体各方应遵守本章第3.1条规定，同时还应遵守下列规定：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（1）联合体各方应提交联合体协议，联合体协议应符合招标文件规定。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（2）联合体各方不得再单独参加或与其他供应商另外组成联合体参加同一合同项下的投标。</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（3）联合体各方应共同与采购人签订政府采购合同，就政府采购合同约定的事项对采购人承担连带责任。</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4、投标费用</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4.1除招标文件另有规定外，投标人应自行承担其参加本项目投标所涉及的一切费用。</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三、招标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5、招标文件</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5.1招标文件由下述部分组成：</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（1）投标邀请</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（2）投标人须知前附表（表1、2）</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（3）投标人须知</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（4）资格审查与评标</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（5）招标内容及要求</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（6）政府采购合同（参考文本）</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（7）投标文件格式</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（8）按照招标文件规定作为招标文件组成部分的其他内容（若有）</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5.2招标文件的澄清或修改</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可对已发出的招标文件进行必要的澄清或修改，但不得对招标文件载明的采购标的和投标人的资格要求进行改变。</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（2）除本章第5.2条第（3）款规定情形外，澄清或修改的内容可能影响投标文件编制的，</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将在投标截止时间至少15个日历日前，在招标文件载明的指定媒体以更正公告的形式发布澄清或修改的内容。不足15个日历日的，</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将顺延投标截止时间及开标时间，</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和投标人受原投标截止时间及开标时间制约的所有权利和义务均延长至新的投标截止时间及开标时间。</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（3）澄清或修改的内容可能改变招标文件载明的采购标的和投标人的资格要求的，本次采购活动结束，</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将依法组织后续采购活动（包括但不限于：重新招标、采用其他方式采购等）。</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6、现场考察或开标前答疑会</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6.1是否组织现场考察或召开开标前答疑会：详见招标文件第二章。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7、更正公告</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7.1若</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发布更正公告，则更正公告及其所发布的内容或信息（包括但不限于：招标文件的澄清或修改、现场考察或答疑会的有关事宜等）</w:t>
      </w:r>
      <w:r>
        <w:rPr>
          <w:rStyle w:val="20"/>
          <w:rFonts w:hint="eastAsia" w:ascii="宋体" w:hAnsi="宋体" w:eastAsia="宋体" w:cs="宋体"/>
          <w:color w:val="auto"/>
          <w:highlight w:val="none"/>
        </w:rPr>
        <w:t>作为招标文件组成部分</w:t>
      </w:r>
      <w:r>
        <w:rPr>
          <w:rFonts w:hint="eastAsia" w:ascii="宋体" w:hAnsi="宋体" w:eastAsia="宋体" w:cs="宋体"/>
          <w:color w:val="auto"/>
          <w:highlight w:val="none"/>
        </w:rPr>
        <w:t>，对投标人具有约束力。</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7.2更正公告作为</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通知所有潜在投标人的书面形式。</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8、终止公告</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8.1若出现因重大变故导致采购任务取消情形，福建省招标中心有限责任公司可终止招标并发布终止公告。</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8.2终止公告作为福建省招标中心有限责任公司通知所有潜在投标人的书面形式。</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四、投标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9、投标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9.1投标人可对招标文件载明的全部或部分合同包进行投标。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9.2投标人应对同一个合同包内的所有内容进行完整投标，否则</w:t>
      </w:r>
      <w:r>
        <w:rPr>
          <w:rStyle w:val="20"/>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9.3投标人代表只能接受一个投标人的授权参加投标，否则</w:t>
      </w:r>
      <w:r>
        <w:rPr>
          <w:rStyle w:val="20"/>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9.4单位负责人为同一人或存在直接控股、管理关系的不同供应商，不得同时参加同一合同项下的投标，否则</w:t>
      </w:r>
      <w:r>
        <w:rPr>
          <w:rStyle w:val="20"/>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9.5为本项目提供整体设计、规范编制或项目管理、监理、检测等服务的供应商，不得参加本项目除整体设计、规范编制和项目管理、监理、检测等服务外的采购活动，否则</w:t>
      </w:r>
      <w:r>
        <w:rPr>
          <w:rStyle w:val="20"/>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9.6列入失信被执行人、重大税收违法案件当事人名单、政府采购严重违法失信行为记录名单及其他不符合政府采购法第二十二条规定条件的供应商，不得参加投标，否则</w:t>
      </w:r>
      <w:r>
        <w:rPr>
          <w:rStyle w:val="20"/>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9.7有下列情形之一的，视为投标人串通投标，</w:t>
      </w:r>
      <w:r>
        <w:rPr>
          <w:rStyle w:val="20"/>
          <w:rFonts w:hint="eastAsia" w:ascii="宋体" w:hAnsi="宋体" w:eastAsia="宋体" w:cs="宋体"/>
          <w:color w:val="auto"/>
          <w:highlight w:val="none"/>
        </w:rPr>
        <w:t>其投标无效：</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（1）不同投标人的投标文件由同一单位或个人编制；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（2）不同投标人委托同一单位或个人办理投标事宜；</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（3）不同投标人的投标文件载明的项目管理成员或联系人员为同一人；</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（4）不同投标人的投标文件异常一致或投标报价呈规律性差异；</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（5）不同投标人的投标文件相互混装；</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（6）不同投标人的投标保证金从同一单位或个人的账户转出；</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（7）有关法律、法规和规章及招标文件规定的其他串通投标情形。</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10、投标文件</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10.1投标文件的编制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（1）投标人应先仔细阅读招标文件的全部内容后，再进行投标文件的编制。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（2）投标文件应按照本章第10.2条规定编制其组成部分。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10.2投标文件由下述部分组成：</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（1）资格及资信证明部分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①投标函</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②投标人的资格及资信证明文件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③投标保证金</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（2）报价部分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①开标一览表</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②投标分项报价表</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③招标文件规定的价格扣除证明材料（若有）</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④招标文件规定的加分证明材料（若有）</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（3）技术商务部分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①标的说明一览表</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②技术和服务要求响应表</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③商务条件响应表</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④投标人提交的其他资料（若有）</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⑤招标文件规定作为投标文件组成部分的其他内容（若有）</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10.3投标文件的语言</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（1）除招标文件另有规定外，投标文件应使用中文文本，若有不同文本，以中文文本为准。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10.4投标文件的份数：详见招标文件第二章。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10.5投标文件的格式</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（1）除招标文件另有规定外，投标文件应使用招标文件第七章规定的格式。</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（2）除招标文件另有规定外，投标文件的正本和全部副本均应使用不能擦去的墨料或墨水打印、书写或复印，其中：</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①正本应用A4幅面纸张打印装订，编制封面（封面标明“正本”字样）、索引、页码，并用胶装装订成册。</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②副本应用A4幅面纸张打印装订，编制封面（封面标明“副本”字样）、索引、页码，并用胶装装订成册；副本可用正本的完整复印件，并与正本保持一致（若不一致，以正本为准）。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③允许散装或活页装订的内容或材料：详见招标文件第二章。</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※除本章第10.5条第（2）款第③点规定情形外，投标文件散装或活页装订将导致投标无效。</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（3）除招标文件另有规定外，投标文件应使用人民币作为计量货币。</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（4）除招标文件另有规定外，签署、盖章应遵守下列规定：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①投标文件应由投标人代表签字并加盖投标人的单位公章。若投标人代表为单位负责人授权的委托代理人，应提供“单位负责人授权书”。</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②投标文件应没有涂改或行间插字，除非这些改动是根据</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的指示进行的，或是为改正投标人造成的应修改的错误而进行的。若有前述改动，应按照下列规定之一对改动处进行处理：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a.投标人代表签字确认；</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b.加盖投标人的单位公章或校正章。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10.6投标报价</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（1）投标报价超出最高限价将导致</w:t>
      </w:r>
      <w:r>
        <w:rPr>
          <w:rStyle w:val="20"/>
          <w:rFonts w:hint="eastAsia" w:ascii="宋体" w:hAnsi="宋体" w:eastAsia="宋体" w:cs="宋体"/>
          <w:color w:val="auto"/>
          <w:highlight w:val="none"/>
        </w:rPr>
        <w:t>投标无效。</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（2）最高限价由采购人根据价格测算情况，在预算金额的额度内合理设定。最高限价不得超出预算金额。</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（3）除招标文件另有规定外，投标文件不能出现任何选择性的投标报价，即每一个合同包和品目号的采购标的都只能有一个投标报价。任何选择性的投标报价将导致</w:t>
      </w:r>
      <w:r>
        <w:rPr>
          <w:rStyle w:val="20"/>
          <w:rFonts w:hint="eastAsia" w:ascii="宋体" w:hAnsi="宋体" w:eastAsia="宋体" w:cs="宋体"/>
          <w:color w:val="auto"/>
          <w:highlight w:val="none"/>
        </w:rPr>
        <w:t>投标无效。</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10.7分包</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（1）是否允许中标人将本项目的非主体、非关键性工作进行分包：详见招标文件第二章。</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（2）若允许中标人将本项目的非主体、非关键性工作进行分包且投标人拟在中标后进行分包，则投标人应在投标文件中载明分包承担主体，分包承担主体应具备相应资质条件（若有）且不得再次分包。</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（3）招标文件允许中标人将非主体、非关键性工作进行分包的项目，有下列情形之一的，中标人不得分包：</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①投标文件中未载明分包承担主体；</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②投标文件载明的分包承担主体不具备相应资质条件；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③投标文件载明的分包承担主体拟再次分包；</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 xml:space="preserve">  ④享受中小企业扶持政策获得政府采购合同的，小微企业不得将合同分包给大中型企业，中型企业不得将合同分包给大型企业。</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10.8投标有效期</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（1）招标文件载明的投标有效期：详见招标文件第二章。</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（2）投标文件承诺的投标有效期不得少于招标文件载明的投标有效期，否则</w:t>
      </w:r>
      <w:r>
        <w:rPr>
          <w:rStyle w:val="20"/>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（3）根据本次采购活动的需要，</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可于投标有效期届满之前书面要求投标人延长投标有效期，投标人应在</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10.9投标保证金</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（1）投标保证金作为投标人按照招标文件规定履行相应投标责任、义务的约束及担保。</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（2）投标保证金的有效期应与投标文件承诺的投标有效期保持一致，否则</w:t>
      </w:r>
      <w:r>
        <w:rPr>
          <w:rStyle w:val="20"/>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（3）提交</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①投标人应从其银行账户</w:t>
      </w:r>
      <w:r>
        <w:rPr>
          <w:rStyle w:val="20"/>
          <w:rFonts w:hint="eastAsia" w:ascii="宋体" w:hAnsi="宋体" w:eastAsia="宋体" w:cs="宋体"/>
          <w:color w:val="auto"/>
          <w:highlight w:val="none"/>
        </w:rPr>
        <w:t>（基本存款账户）</w:t>
      </w:r>
      <w:r>
        <w:rPr>
          <w:rFonts w:hint="eastAsia" w:ascii="宋体" w:hAnsi="宋体" w:eastAsia="宋体" w:cs="宋体"/>
          <w:color w:val="auto"/>
          <w:highlight w:val="none"/>
        </w:rPr>
        <w:t>按照下列方式：</w:t>
      </w:r>
      <w:r>
        <w:rPr>
          <w:rStyle w:val="20"/>
          <w:rFonts w:hint="eastAsia" w:ascii="宋体" w:hAnsi="宋体" w:eastAsia="宋体" w:cs="宋体"/>
          <w:color w:val="auto"/>
          <w:highlight w:val="none"/>
        </w:rPr>
        <w:t>公对公转账方式</w:t>
      </w:r>
      <w:r>
        <w:rPr>
          <w:rFonts w:hint="eastAsia" w:ascii="宋体" w:hAnsi="宋体" w:eastAsia="宋体" w:cs="宋体"/>
          <w:color w:val="auto"/>
          <w:highlight w:val="none"/>
        </w:rPr>
        <w:t>向招标文件载明的投标保证金账户提交投标保证金，具体金额详见招标文件第一章。</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②投标保证金应于投标截止时间前到达招标文件载明的投标保证金账户，否则视为投标保证金未提交；是否到达按照下列方式认定：</w:t>
      </w:r>
      <w:r>
        <w:rPr>
          <w:rStyle w:val="20"/>
          <w:rFonts w:hint="eastAsia" w:ascii="宋体" w:hAnsi="宋体" w:eastAsia="宋体" w:cs="宋体"/>
          <w:color w:val="auto"/>
          <w:highlight w:val="none"/>
        </w:rPr>
        <w:t>以福建省政府采购网上公开信息系统记载的为准。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③若本项目接受联合体投标且投标人为联合体，则联合体中的牵头方应按照本章第10.9条第（3）款第①、②点规定提交投标保证金。</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※除招标文件另有规定外，未按照上述规定提交投标保证金将导致资格审查不合格。</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（4）退还</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①在投标截止时间前撤回已提交的投标文件的投标人，其投标保证金将在</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收到投标人书面撤回通知之日起5个工作日内退回原账户。</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②未中标人的投标保证金将在中标通知书发出之日起5个工作日内退回原账户。</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③中标人的投标保证金将在政府采购合同签订之日起5个工作日内退回原账户；合同签订之日按照下列方式认定：</w:t>
      </w:r>
      <w:r>
        <w:rPr>
          <w:rStyle w:val="20"/>
          <w:rFonts w:hint="eastAsia" w:ascii="宋体" w:hAnsi="宋体" w:eastAsia="宋体" w:cs="宋体"/>
          <w:color w:val="auto"/>
          <w:highlight w:val="none"/>
        </w:rPr>
        <w:t>以福建省政府采购网上公开信息系统记载的为准。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④终止招标的，</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将在终止公告发布之日起5个工作日内退回已收取的投标保证金及其在银行产生的孳息。</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⑤除招标文件另有规定外，质疑或投诉涉及的投标人，若投标保证金尚未退还，则待质疑或投诉处理完毕后不计利息原额退还。</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※本章第10.9条第（4）款第①、②、③点规定的投标保证金退还时限不包括因投标人自身原因导致无法及时退还而增加的时间。</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（6）有下列情形之一的，投标保证金将不予退还：</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①投标人串通投标；</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②投标人提供虚假材料；</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③投标人采取不正当手段诋毁、排挤其他投标人；</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④投标截止时间后，投标人在投标有效期内撤销投标文件；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⑤投标人不接受评标委员会按照招标文件规定对投标报价错误之处进行修正；</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⑥投标人违反招标文件第三章第9.4、9.5、9.6条规定之一；</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⑦招标文件规定的其他不予退还情形；</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⑧中标人有下列情形之一的：</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a.除不可抗力外，因中标人自身原因未在中标通知书要求的期限内与采购人签订政府采购合同；</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b.未按照招标文件、投标文件的约定签订政府采购合同或提交履约保证金。</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※若上述投标保证金不予退还情形给采购人（采购代理机构）造成损失，则投标人还要承担相应的赔偿责任。</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10.10投标文件的提交</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（1）一个投标人只能提交一个投标文件，并按照招标文件第一章规定将其送达。</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（2）密封及其标记的具体形式：详见招标文件第二章。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10.11投标文件的补充、修改或撤回</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（1）投标截止时间前，投标人可对所提交的投标文件进行补充、修改或撤回，并书面通知</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（2）补充、修改的内容应按照本章第10.5条第（4）款规定进行签署、盖章，并按照本章第10.10条规定提交，</w:t>
      </w:r>
      <w:r>
        <w:rPr>
          <w:rStyle w:val="20"/>
          <w:rFonts w:hint="eastAsia" w:ascii="宋体" w:hAnsi="宋体" w:eastAsia="宋体" w:cs="宋体"/>
          <w:color w:val="auto"/>
          <w:highlight w:val="none"/>
        </w:rPr>
        <w:t>否则将被拒收。</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※按照上述规定提交的补充、修改内容作为投标文件组成部分。</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10.12除招标文件另有规定外，有下列情形之一的，</w:t>
      </w:r>
      <w:r>
        <w:rPr>
          <w:rStyle w:val="20"/>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（1）投标文件未按照招标文件要求签署、盖章；</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（2）不符合招标文件中规定的资格要求；</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（3）投标报价超过招标文件中规定的预算金额或最高限价；</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（4）投标文件含有采购人不能接受的附加条件；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（5）有关法律、法规和规章及招标文件规定的其他无效情形。</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五、开标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11、开标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11.1</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将在招标文件载明的开标时间及地点主持召开开标会，并邀请投标人参加。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11.2开标会的主持人、唱标人、记录人及其他工作人员（若有）均由</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派出，现场监督人员（若有）可由有关方面派出。</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11.3参加开标会的投标人应签到，非投标人不参加开标会。</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11.4开标会应遵守下列规定：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（1）首先由主持人宣布开标会须知，然后由投标人代表对投标文件的密封情况进行检查，经确认无误后，由工作人员对密封的投标文件当众拆封。</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（3）记录人对唱标人宣布的内容作开标记录。</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（6）若投标人未参加开标会（包括但不限于投标人派出的人员不是投标人代表），视同其对开标过程和开标记录予以认可。</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※若出现本章第11.4条第（4）、（5）、（6）款规定情形之一</w:t>
      </w:r>
      <w:r>
        <w:rPr>
          <w:rFonts w:hint="eastAsia" w:ascii="宋体" w:hAnsi="宋体" w:eastAsia="宋体" w:cs="宋体"/>
          <w:color w:val="auto"/>
          <w:highlight w:val="none"/>
        </w:rPr>
        <w:t>，</w:t>
      </w:r>
      <w:r>
        <w:rPr>
          <w:rStyle w:val="20"/>
          <w:rFonts w:hint="eastAsia" w:ascii="宋体" w:hAnsi="宋体" w:eastAsia="宋体" w:cs="宋体"/>
          <w:color w:val="auto"/>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highlight w:val="none"/>
          <w:u w:val="single"/>
        </w:rPr>
        <w:t>福建省招标中心有限责任公司</w:t>
      </w:r>
      <w:r>
        <w:rPr>
          <w:rStyle w:val="20"/>
          <w:rFonts w:hint="eastAsia" w:ascii="宋体" w:hAnsi="宋体" w:eastAsia="宋体" w:cs="宋体"/>
          <w:color w:val="auto"/>
          <w:highlight w:val="none"/>
        </w:rPr>
        <w:t>提出任何疑义或要求（包括质疑）。</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11.5投标截止时间后，参加投标的投标人不足三家的，不进行开标。同时，本次采购活动结束，</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将依法组织后续采购活动（包括但不限于：重新招标、采用其他方式采购等）。</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六、中标与政府采购合同</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12、中标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12.1本项目推荐的中标候选人家数：详见招标文件第二章。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12.2本项目中标人的确定：详见招标文件第二章。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12.3中标公告</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（1）中标人确定之日起2个工作日内，</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将在招标文件载明的指定媒体以中标公告的形式发布中标结果。</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（2）中标公告的公告期限为1个工作日。</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（3）中标公告同时作为</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通知除中标人外的其他投标人没有中标的书面形式。</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12.4中标通知书</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（1）中标公告发布的同时，</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将向中标人发出中标通知书。</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（2）中标通知书发出后，采购人不得违法改变中标结果，中标人无正当理由不得放弃中标。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13、政府采购合同</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13.2签订时限：自中标通知书发出之日起30个日历日内。</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13.3政府采购合同的履行、违约责任和解决争议的方法等适用合同法。</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13.4采购人与中标人应根据政府采购合同的约定依法履行合同义务。</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13.5政府采购合同履行过程中，采购人若需追加与合同标的相同的货物或服务，则追加采购金额不得超过原合同采购金额的10%。</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13.6中标人在政府采购合同履行过程中应遵守有关法律、法规和规章的强制性规定（即使前述强制性规定有可能在招标文件中未予列明）。</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七、询问、质疑与投诉</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14、询问</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14.1潜在投标人或投标人对本次采购活动的有关事项若有疑问，可向福建省招标中心有限责任公司提出询问，福建省招标中心有限责任公司将按照政府采购法及实施条例的有关规定进行答复。</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15、质疑</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15.1针对同一采购程序环节的质疑应在政府采购法及实施条例规定的时限内一次性提出，并同时符合下列条件：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（1）对招标文件提出质疑的，质疑人应为潜在投标人，且两者的身份、名称等均应保持一致。对采购过程、结果提出质疑的，质疑人应为投标人，且两者的身份、名称等均应保持一致。</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（2）质疑人应按照招标文件第二章规定方式提交质疑函。</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（3）质疑函应包括下列主要内容：</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①质疑人的基本信息，至少包括：全称、地址、邮政编码等；</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②所质疑项目的基本信息，至少包括：招标编号、项目名称等；</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③所质疑的具体事项（以下简称：“质疑事项”）；</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④针对质疑事项提出的明确请求，前述明确请求指质疑人提出质疑的目的以及希望福建省招标中心有限责任公司对其质疑作出的处理结果，如：暂停招标投标活动、修改招标文件、停止或纠正违法违规行为、中标结果无效、废标、重新招标等；</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⑤针对质疑事项导致质疑人自身权益受到损害的必要证明材料，至少包括：</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a.质疑人代表的身份证明材料：</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a2若本项目接受自然人投标且质疑人为自然人的，提供本人的身份证复印件。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b.其他证明材料（即事实依据和必要的法律依据）包括但不限于下列材料：</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b1所质疑的具体事项是与自已有利害关系的证明材料；</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b2质疑函所述事实存在的证明材料，如：采购文件、采购过程或中标结果违法违规或不符合采购文件要求等证明材料；</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b3依法应终止采购程序的证明材料；</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b4应重新采购的证明材料；</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b5采购文件、采购过程或中标、成交结果损害自已合法权益的证明材料等；</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20"/>
          <w:rFonts w:hint="eastAsia" w:ascii="宋体" w:hAnsi="宋体" w:eastAsia="宋体" w:cs="宋体"/>
          <w:color w:val="auto"/>
          <w:highlight w:val="none"/>
        </w:rPr>
        <w:t>视为无效</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 xml:space="preserve">   ⑥质疑人代表及其联系方法的信息，至少包括：姓名、手机、电子信箱、邮寄地址等。</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 xml:space="preserve">   ⑦提出质疑的日期。</w:t>
      </w:r>
    </w:p>
    <w:p>
      <w:pPr>
        <w:pStyle w:val="14"/>
        <w:widowControl/>
        <w:spacing w:beforeAutospacing="0" w:after="150"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※质疑人为法人或其他组织的，质疑函应由单位负责人或委托代理人签字或盖章，并加盖投标人的单位公章。质疑人为自然人的，质疑函应由本人签字。</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15.2对不符合本章第15.1条规定的质疑，将按照下列规定进行处理：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（1）不符合其中第（1）、（2）条规定的，书面告知质疑人不予受理及其理由。</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（2）不符合其中第（3）条规定的，书面告知质疑人修改、补充后在规定时限内重新提交质疑函。</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15.3对符合本章第15.1条规定的质疑，将按照政府采购法及实施条例、政府采购质疑和投诉办法的有关规定进行答复。</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15.4招标文件的质疑：详见招标文件第二章。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16、投诉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16.2投诉应有明确的请求和必要的证明材料，投诉的事项不得超出已质疑事项的范围。</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八、政府采购政策</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17、政府采购政策由财政部根据国家的经济和社会发展政策并会同国家有关部委制定，包括但不限于下列具体政策要求：</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17.1进口产品指通过中国海关报关验放进入中国境内且产自关境外的产品，其中：</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（2）凡在海关特殊监管区域内企业生产或加工（包括从境外进口料件）销往境内其他地区的产品，不作为政府采购项下进口产品。</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（3）对从境外进入海关特殊监管区域，再经办理报关手续后从海关特殊监管区进入境内其他地区的产品，认定为进口产品。</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（4）招标文件列明不允许或未列明允许进口产品参加投标的，均视为拒绝进口产品参加投标。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20"/>
          <w:rFonts w:hint="eastAsia" w:ascii="宋体" w:hAnsi="宋体" w:eastAsia="宋体" w:cs="宋体"/>
          <w:color w:val="auto"/>
          <w:highlight w:val="none"/>
        </w:rPr>
        <w:t>“残疾人福利性单位”</w:t>
      </w:r>
      <w:r>
        <w:rPr>
          <w:rFonts w:hint="eastAsia" w:ascii="宋体" w:hAnsi="宋体" w:eastAsia="宋体" w:cs="宋体"/>
          <w:color w:val="auto"/>
          <w:highlight w:val="none"/>
        </w:rPr>
        <w:t>）亦可享受前述扶持政策。其中：</w:t>
      </w:r>
    </w:p>
    <w:p>
      <w:pPr>
        <w:pStyle w:val="14"/>
        <w:widowControl/>
        <w:spacing w:before="75" w:beforeAutospacing="0" w:after="75" w:afterAutospacing="0"/>
        <w:ind w:firstLine="240"/>
        <w:rPr>
          <w:rFonts w:ascii="宋体" w:hAnsi="宋体" w:eastAsia="宋体" w:cs="宋体"/>
          <w:color w:val="auto"/>
          <w:highlight w:val="none"/>
        </w:rPr>
      </w:pPr>
      <w:r>
        <w:rPr>
          <w:rFonts w:hint="eastAsia" w:ascii="宋体" w:hAnsi="宋体" w:eastAsia="宋体" w:cs="宋体"/>
          <w:color w:val="auto"/>
          <w:highlight w:val="none"/>
        </w:rPr>
        <w:t>（1）中小企业指符合下列条件的中型、小型、微型企业：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②符合中小企业划分标准的个体工商户，在政府采购活动中视同中小企业。</w:t>
      </w:r>
    </w:p>
    <w:p>
      <w:pPr>
        <w:pStyle w:val="14"/>
        <w:widowControl/>
        <w:spacing w:before="75" w:beforeAutospacing="0" w:after="75" w:afterAutospacing="0"/>
        <w:ind w:firstLine="240"/>
        <w:rPr>
          <w:rFonts w:ascii="宋体" w:hAnsi="宋体" w:eastAsia="宋体" w:cs="宋体"/>
          <w:color w:val="auto"/>
          <w:highlight w:val="none"/>
        </w:rPr>
      </w:pPr>
      <w:r>
        <w:rPr>
          <w:rFonts w:hint="eastAsia" w:ascii="宋体" w:hAnsi="宋体" w:eastAsia="宋体" w:cs="宋体"/>
          <w:color w:val="auto"/>
          <w:highlight w:val="none"/>
        </w:rPr>
        <w:t>（2）在政府采购活动中，供应商提供的货物、工程或者服务符合下列情形的，享受本办法规定的中小企业扶持政策：</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①在货物采购项目中，货物由中小企业制造，即货物由中小企业生产且使用该中小企业商号或者注册商标；</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②在工程采购项目中，工程由中小企业承建，即工程施工单位为中小企业；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③在服务采购项目中，服务由中小企业承接，即提供服务的人员为中小企业依照《中华人民共和国劳动合同法》 订立劳动合同的从业人员。</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在货物采购项目中，供应商提供的货物既有中小企业制造货物，也有大型企业制造货物的，不享受本办法规定的中小企业扶持政策。</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以联合体形式参加政府采购活动，联合体各方均为中小企业的，联合体视同中小企业。其中，联合体各方均为小微企业的，联合体视同小微企业。</w:t>
      </w:r>
    </w:p>
    <w:p>
      <w:pPr>
        <w:pStyle w:val="14"/>
        <w:widowControl/>
        <w:spacing w:before="75" w:beforeAutospacing="0" w:after="75" w:afterAutospacing="0"/>
        <w:ind w:firstLine="240"/>
        <w:rPr>
          <w:rFonts w:ascii="宋体" w:hAnsi="宋体" w:eastAsia="宋体" w:cs="宋体"/>
          <w:color w:val="auto"/>
          <w:highlight w:val="none"/>
        </w:rPr>
      </w:pPr>
      <w:r>
        <w:rPr>
          <w:rFonts w:hint="eastAsia" w:ascii="宋体" w:hAnsi="宋体" w:eastAsia="宋体" w:cs="宋体"/>
          <w:color w:val="auto"/>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①监狱企业参加采购活动时，应提供由省级以上监狱管理局、戒毒管理局（含新疆生产建设兵团）出具的属于监狱企业的证明文件。</w:t>
      </w:r>
    </w:p>
    <w:p>
      <w:pPr>
        <w:pStyle w:val="14"/>
        <w:widowControl/>
        <w:spacing w:before="75" w:beforeAutospacing="0" w:after="240" w:afterAutospacing="0"/>
        <w:ind w:firstLine="480"/>
        <w:rPr>
          <w:rFonts w:ascii="宋体" w:hAnsi="宋体" w:eastAsia="宋体" w:cs="宋体"/>
          <w:color w:val="auto"/>
          <w:highlight w:val="none"/>
        </w:rPr>
      </w:pPr>
      <w:r>
        <w:rPr>
          <w:rFonts w:hint="eastAsia" w:ascii="宋体" w:hAnsi="宋体" w:eastAsia="宋体" w:cs="宋体"/>
          <w:color w:val="auto"/>
          <w:highlight w:val="none"/>
        </w:rPr>
        <w:t>②监狱企业视同小型、微型企业。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（4）残疾人福利性单位指同时符合下列条件的单位：</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①安置的残疾人占本单位在职职工人数的比例不低于25%（含25%），并且安置的残疾人人数不少于10人（含10人）；</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②依法与安置的每位残疾人签订了一年以上（含一年）的劳动合同或服务协议；</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③为安置的每位残疾人按月足额缴纳了基本养老保险、基本医疗保险、失业保险、工伤保险和生育保险等社会保险费；</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④通过银行等金融机构向安置的每位残疾人，按月支付了不低于单位所在区县适用的经省级人民政府批准的月最低工资标准的工资；</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⑤提供本单位制造的货物、承担的工程或服务，或提供其他残疾人福利性单位制造的货物（不包括使用非残疾人福利性单位注册商标的货物）。</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17.5信用记录指由财政部确定的有关网站提供的相关主体信用信息。信用记录的查询及使用应符合财政部文件（财库[2016]125号）规定。</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17.6为落实政府采购政策需满足的要求：详见招标文件第一章。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九、本项目的有关信息</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18、本项目的有关信息，包括但不限于：招标公告、更正公告（若有）、招标文件、招标文件的澄清或修改（若有）、中标公告、终止公告（若有）、废标公告（若有）等都将在招标文件载明的指定媒体发布。</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18.1指定媒体：详见招标文件第二章。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18.2本项目的潜在投标人或投标人应随时关注指定媒体，否则产生不利后果由其自行承担。</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十、其他事项</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19、其他事项：详见招标文件第二章。</w:t>
      </w:r>
    </w:p>
    <w:p>
      <w:pPr>
        <w:pStyle w:val="14"/>
        <w:widowControl/>
        <w:spacing w:before="75" w:beforeAutospacing="0" w:after="75" w:afterAutospacing="0"/>
        <w:jc w:val="center"/>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hd w:val="clear" w:color="auto" w:fill="FFFFFF"/>
        <w:spacing w:before="75" w:beforeAutospacing="0" w:after="75" w:afterAutospacing="0"/>
        <w:rPr>
          <w:rFonts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 xml:space="preserve"> </w:t>
      </w:r>
    </w:p>
    <w:p>
      <w:pPr>
        <w:pStyle w:val="14"/>
        <w:widowControl/>
        <w:shd w:val="clear" w:color="auto" w:fill="FFFFFF"/>
        <w:spacing w:before="75" w:beforeAutospacing="0" w:after="75" w:afterAutospacing="0"/>
        <w:rPr>
          <w:rFonts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br w:type="page"/>
      </w:r>
    </w:p>
    <w:p>
      <w:pPr>
        <w:pStyle w:val="14"/>
        <w:widowControl/>
        <w:spacing w:before="75" w:beforeAutospacing="0" w:after="75" w:afterAutospacing="0"/>
        <w:jc w:val="center"/>
        <w:outlineLvl w:val="0"/>
        <w:rPr>
          <w:rFonts w:ascii="宋体" w:hAnsi="宋体" w:eastAsia="宋体" w:cs="宋体"/>
          <w:color w:val="auto"/>
          <w:highlight w:val="none"/>
        </w:rPr>
      </w:pPr>
      <w:bookmarkStart w:id="3" w:name="_Toc9700"/>
      <w:r>
        <w:rPr>
          <w:rStyle w:val="20"/>
          <w:rFonts w:hint="eastAsia" w:ascii="宋体" w:hAnsi="宋体" w:eastAsia="宋体" w:cs="宋体"/>
          <w:color w:val="auto"/>
          <w:sz w:val="31"/>
          <w:szCs w:val="31"/>
          <w:highlight w:val="none"/>
        </w:rPr>
        <w:t>第四章   资格审查与评标</w:t>
      </w:r>
      <w:bookmarkEnd w:id="3"/>
    </w:p>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jc w:val="center"/>
        <w:outlineLvl w:val="1"/>
        <w:rPr>
          <w:rFonts w:ascii="宋体" w:hAnsi="宋体" w:eastAsia="宋体" w:cs="宋体"/>
          <w:color w:val="auto"/>
          <w:highlight w:val="none"/>
        </w:rPr>
      </w:pPr>
      <w:r>
        <w:rPr>
          <w:rStyle w:val="20"/>
          <w:rFonts w:hint="eastAsia" w:ascii="宋体" w:hAnsi="宋体" w:eastAsia="宋体" w:cs="宋体"/>
          <w:color w:val="auto"/>
          <w:highlight w:val="none"/>
        </w:rPr>
        <w:t>一、资格审查</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1、开标结束后，由</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负责资格审查小组的组建及资格审查工作的组织。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1.1资格审查小组由3人组成，并负责具体审查事务，其中：由采购人派出的采购人代表至少</w:t>
      </w:r>
      <w:r>
        <w:rPr>
          <w:rFonts w:hint="eastAsia" w:ascii="宋体" w:hAnsi="宋体" w:eastAsia="宋体" w:cs="宋体"/>
          <w:color w:val="auto"/>
          <w:highlight w:val="none"/>
          <w:u w:val="single"/>
        </w:rPr>
        <w:t>1</w:t>
      </w:r>
      <w:r>
        <w:rPr>
          <w:rFonts w:hint="eastAsia" w:ascii="宋体" w:hAnsi="宋体" w:eastAsia="宋体" w:cs="宋体"/>
          <w:color w:val="auto"/>
          <w:highlight w:val="none"/>
        </w:rPr>
        <w:t>人，由</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派出的工作人员至少</w:t>
      </w:r>
      <w:r>
        <w:rPr>
          <w:rFonts w:hint="eastAsia" w:ascii="宋体" w:hAnsi="宋体" w:eastAsia="宋体" w:cs="宋体"/>
          <w:color w:val="auto"/>
          <w:highlight w:val="none"/>
          <w:u w:val="single"/>
        </w:rPr>
        <w:t>1</w:t>
      </w:r>
      <w:r>
        <w:rPr>
          <w:rFonts w:hint="eastAsia" w:ascii="宋体" w:hAnsi="宋体" w:eastAsia="宋体" w:cs="宋体"/>
          <w:color w:val="auto"/>
          <w:highlight w:val="none"/>
        </w:rPr>
        <w:t>人，其余</w:t>
      </w:r>
      <w:r>
        <w:rPr>
          <w:rFonts w:hint="eastAsia" w:ascii="宋体" w:hAnsi="宋体" w:eastAsia="宋体" w:cs="宋体"/>
          <w:color w:val="auto"/>
          <w:highlight w:val="none"/>
          <w:u w:val="single"/>
        </w:rPr>
        <w:t>1</w:t>
      </w:r>
      <w:r>
        <w:rPr>
          <w:rFonts w:hint="eastAsia" w:ascii="宋体" w:hAnsi="宋体" w:eastAsia="宋体" w:cs="宋体"/>
          <w:color w:val="auto"/>
          <w:highlight w:val="none"/>
        </w:rPr>
        <w:t>人可为采购人代表或</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的工作人员。</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1.2资格审查的依据是招标文件和投标文件。</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1.3资格审查的范围及内容：投标文件（资格及资信证明部分），具体如下：</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 xml:space="preserve">  （1）“投标函”；</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 xml:space="preserve">  （2）“投标人的资格及资信证明文件”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 xml:space="preserve">   ①一般资格证明文件：</w:t>
      </w:r>
    </w:p>
    <w:tbl>
      <w:tblPr>
        <w:tblStyle w:val="18"/>
        <w:tblW w:w="92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269"/>
        <w:gridCol w:w="69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blHeader/>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sz w:val="24"/>
                <w:highlight w:val="none"/>
              </w:rPr>
            </w:pPr>
            <w:r>
              <w:rPr>
                <w:rFonts w:hint="eastAsia" w:ascii="宋体" w:hAnsi="宋体" w:eastAsia="宋体" w:cs="宋体"/>
                <w:b/>
                <w:color w:val="auto"/>
                <w:kern w:val="0"/>
                <w:sz w:val="24"/>
                <w:highlight w:val="none"/>
                <w:lang w:bidi="ar"/>
              </w:rPr>
              <w:t>明细</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sz w:val="24"/>
                <w:highlight w:val="none"/>
              </w:rPr>
            </w:pPr>
            <w:r>
              <w:rPr>
                <w:rFonts w:hint="eastAsia" w:ascii="宋体" w:hAnsi="宋体" w:eastAsia="宋体" w:cs="宋体"/>
                <w:b/>
                <w:color w:val="auto"/>
                <w:kern w:val="0"/>
                <w:sz w:val="24"/>
                <w:highlight w:val="none"/>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57"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单位负责人授权书（若有）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65"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营业执照等证明文件</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69"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财务状况报告（财务报告、或资信证明、或投标担保函）</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69"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依法缴纳税收证明材料</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7"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依法缴纳社会保障资金证明材料</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60"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具备履行合同所必需设备和专业技术能力的声明函（若有）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40"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参加采购活动前三年内在经营活动中没有重大违法记录书面声明</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1"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信用记录查询结果</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中小企业声明函（专门面向中小企业或小型、微型企业适用，若有）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56"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联合体协议（若有）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16"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检察机关行贿犯罪档案查询结果告知函（若有）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 xml:space="preserve">   ②.其他资格证明文件：</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包：1</w:t>
      </w:r>
    </w:p>
    <w:tbl>
      <w:tblPr>
        <w:tblStyle w:val="18"/>
        <w:tblW w:w="83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918"/>
        <w:gridCol w:w="54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blHeader/>
        </w:trPr>
        <w:tc>
          <w:tcPr>
            <w:tcW w:w="29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c>
          <w:tcPr>
            <w:tcW w:w="54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1" w:hRule="atLeast"/>
        </w:trPr>
        <w:tc>
          <w:tcPr>
            <w:tcW w:w="29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lang w:bidi="ar"/>
              </w:rPr>
            </w:pPr>
            <w:r>
              <w:rPr>
                <w:rFonts w:ascii="宋体" w:hAnsi="宋体" w:eastAsia="宋体" w:cs="宋体"/>
                <w:color w:val="auto"/>
                <w:sz w:val="24"/>
                <w:highlight w:val="none"/>
              </w:rPr>
              <w:t>信用记录查询结果</w:t>
            </w:r>
            <w:r>
              <w:rPr>
                <w:rFonts w:hint="eastAsia" w:ascii="宋体" w:hAnsi="宋体" w:eastAsia="宋体" w:cs="宋体"/>
                <w:color w:val="auto"/>
                <w:sz w:val="24"/>
                <w:highlight w:val="none"/>
              </w:rPr>
              <w:t>补充说明</w:t>
            </w:r>
          </w:p>
        </w:tc>
        <w:tc>
          <w:tcPr>
            <w:tcW w:w="540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通过“信用中国”网站（www.creditchina.gov.cn）、中国政府采购网（www.ccgp.gov.cn）查询投标人信用记录，信用记录查询规则以此处为准。①由资格审查小组通过上述网站查询并打印投标人信用记录（以下简称：“资格审查小组的查询结果”）。②资格审查小组的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本文件中描述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1" w:hRule="atLeast"/>
        </w:trPr>
        <w:tc>
          <w:tcPr>
            <w:tcW w:w="29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具备履行合同所必需的设备和专业技术能力专项证明材料</w:t>
            </w:r>
            <w:r>
              <w:rPr>
                <w:rFonts w:hint="eastAsia" w:ascii="宋体" w:hAnsi="宋体" w:eastAsia="宋体" w:cs="宋体"/>
                <w:color w:val="auto"/>
                <w:sz w:val="24"/>
                <w:highlight w:val="none"/>
              </w:rPr>
              <w:t>补充说明</w:t>
            </w:r>
          </w:p>
        </w:tc>
        <w:tc>
          <w:tcPr>
            <w:tcW w:w="54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投标人应按照招标文件第七章规定提供“具备履行合同所必需设备和专业技术能力的声明函”</w:t>
            </w:r>
            <w:r>
              <w:rPr>
                <w:rFonts w:hint="eastAsia" w:ascii="宋体" w:hAnsi="宋体" w:eastAsia="宋体" w:cs="宋体"/>
                <w:color w:val="auto"/>
                <w:sz w:val="24"/>
                <w:highlight w:val="none"/>
              </w:rPr>
              <w:t>(本文件中描述与此处不一致的，以此处补充说明为准)</w:t>
            </w:r>
          </w:p>
        </w:tc>
      </w:tr>
    </w:tbl>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包：2</w:t>
      </w:r>
    </w:p>
    <w:tbl>
      <w:tblPr>
        <w:tblStyle w:val="18"/>
        <w:tblW w:w="83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918"/>
        <w:gridCol w:w="54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blHeader/>
        </w:trPr>
        <w:tc>
          <w:tcPr>
            <w:tcW w:w="29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c>
          <w:tcPr>
            <w:tcW w:w="54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1" w:hRule="atLeast"/>
        </w:trPr>
        <w:tc>
          <w:tcPr>
            <w:tcW w:w="29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lang w:bidi="ar"/>
              </w:rPr>
            </w:pPr>
            <w:r>
              <w:rPr>
                <w:rFonts w:ascii="宋体" w:hAnsi="宋体" w:eastAsia="宋体" w:cs="宋体"/>
                <w:color w:val="auto"/>
                <w:sz w:val="24"/>
                <w:highlight w:val="none"/>
              </w:rPr>
              <w:t>信用记录查询结果</w:t>
            </w:r>
            <w:r>
              <w:rPr>
                <w:rFonts w:hint="eastAsia" w:ascii="宋体" w:hAnsi="宋体" w:eastAsia="宋体" w:cs="宋体"/>
                <w:color w:val="auto"/>
                <w:sz w:val="24"/>
                <w:highlight w:val="none"/>
              </w:rPr>
              <w:t>补充说明</w:t>
            </w:r>
          </w:p>
        </w:tc>
        <w:tc>
          <w:tcPr>
            <w:tcW w:w="540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通过“信用中国”网站（www.creditchina.gov.cn）、中国政府采购网（www.ccgp.gov.cn）查询投标人信用记录，信用记录查询规则以此处为准。①由资格审查小组通过上述网站查询并打印投标人信用记录（以下简称：“资格审查小组的查询结果”）。②资格审查小组的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本文件中描述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831" w:hRule="atLeast"/>
        </w:trPr>
        <w:tc>
          <w:tcPr>
            <w:tcW w:w="29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具备履行合同所必需的设备和专业技术能力专项证明材料</w:t>
            </w:r>
            <w:r>
              <w:rPr>
                <w:rFonts w:hint="eastAsia" w:ascii="宋体" w:hAnsi="宋体" w:eastAsia="宋体" w:cs="宋体"/>
                <w:color w:val="auto"/>
                <w:sz w:val="24"/>
                <w:highlight w:val="none"/>
              </w:rPr>
              <w:t>补充说明</w:t>
            </w:r>
          </w:p>
        </w:tc>
        <w:tc>
          <w:tcPr>
            <w:tcW w:w="54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投标人应按照招标文件第七章规定提供“具备履行合同所必需设备和专业技术能力的声明函”</w:t>
            </w:r>
            <w:r>
              <w:rPr>
                <w:rFonts w:hint="eastAsia" w:ascii="宋体" w:hAnsi="宋体" w:eastAsia="宋体" w:cs="宋体"/>
                <w:color w:val="auto"/>
                <w:sz w:val="24"/>
                <w:highlight w:val="none"/>
              </w:rPr>
              <w:t>(本文件中描述与此处不一致的，以此处补充说明为准)</w:t>
            </w:r>
          </w:p>
        </w:tc>
      </w:tr>
    </w:tbl>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 xml:space="preserve">  （3）投标保证金。</w:t>
      </w:r>
    </w:p>
    <w:p>
      <w:pPr>
        <w:pStyle w:val="14"/>
        <w:widowControl/>
        <w:spacing w:before="75" w:beforeAutospacing="0" w:after="75" w:afterAutospacing="0"/>
        <w:rPr>
          <w:rStyle w:val="20"/>
          <w:rFonts w:ascii="宋体" w:hAnsi="宋体" w:eastAsia="宋体" w:cs="宋体"/>
          <w:color w:val="auto"/>
          <w:highlight w:val="none"/>
        </w:rPr>
      </w:pPr>
      <w:r>
        <w:rPr>
          <w:rFonts w:hint="eastAsia" w:ascii="宋体" w:hAnsi="宋体" w:eastAsia="宋体" w:cs="宋体"/>
          <w:color w:val="auto"/>
          <w:highlight w:val="none"/>
        </w:rPr>
        <w:t>1.4有下列情形之一的，</w:t>
      </w:r>
      <w:r>
        <w:rPr>
          <w:rStyle w:val="20"/>
          <w:rFonts w:hint="eastAsia" w:ascii="宋体" w:hAnsi="宋体" w:eastAsia="宋体" w:cs="宋体"/>
          <w:color w:val="auto"/>
          <w:highlight w:val="none"/>
        </w:rPr>
        <w:t>资格审查不合格：</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（1）一般情形：</w:t>
      </w:r>
    </w:p>
    <w:tbl>
      <w:tblPr>
        <w:tblStyle w:val="18"/>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未按照招标文件规定提交投标保证金</w:t>
            </w:r>
          </w:p>
        </w:tc>
      </w:tr>
    </w:tbl>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 xml:space="preserve">  （2）本项目规定的其他情形：</w:t>
      </w:r>
    </w:p>
    <w:p>
      <w:pPr>
        <w:pStyle w:val="14"/>
        <w:widowControl/>
        <w:spacing w:beforeAutospacing="0" w:after="150"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包：1</w:t>
      </w:r>
    </w:p>
    <w:tbl>
      <w:tblPr>
        <w:tblStyle w:val="18"/>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无。</w:t>
            </w:r>
          </w:p>
        </w:tc>
      </w:tr>
    </w:tbl>
    <w:p>
      <w:pPr>
        <w:pStyle w:val="14"/>
        <w:widowControl/>
        <w:spacing w:beforeAutospacing="0" w:after="150"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包：2</w:t>
      </w:r>
    </w:p>
    <w:tbl>
      <w:tblPr>
        <w:tblStyle w:val="18"/>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无。</w:t>
            </w:r>
          </w:p>
        </w:tc>
      </w:tr>
    </w:tbl>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2、资格审查情况不得私自外泄，有关信息由</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统一对外发布。</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3、资格审查合格的投标人不足三家的，不进行评标。同时，本次采购活动结束，</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将依法组织后续采购活动（包括但不限于：重新招标、采用其他方式采购等）。</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outlineLvl w:val="1"/>
        <w:rPr>
          <w:rFonts w:ascii="宋体" w:hAnsi="宋体" w:eastAsia="宋体" w:cs="宋体"/>
          <w:color w:val="auto"/>
          <w:highlight w:val="none"/>
        </w:rPr>
      </w:pPr>
      <w:r>
        <w:rPr>
          <w:rStyle w:val="20"/>
          <w:rFonts w:hint="eastAsia" w:ascii="宋体" w:hAnsi="宋体" w:eastAsia="宋体" w:cs="宋体"/>
          <w:color w:val="auto"/>
          <w:highlight w:val="none"/>
        </w:rPr>
        <w:t>二、评标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4、资格审查结束后，由福建省招标中心有限责任公司负责评标委员会的组建及评标工作的组织。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5、评标委员会</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5.1评标委员会由采购人代表和评标专家两部分共</w:t>
      </w:r>
      <w:r>
        <w:rPr>
          <w:rFonts w:hint="eastAsia" w:ascii="宋体" w:hAnsi="宋体" w:eastAsia="宋体" w:cs="宋体"/>
          <w:color w:val="auto"/>
          <w:highlight w:val="none"/>
          <w:u w:val="single"/>
        </w:rPr>
        <w:t>5</w:t>
      </w:r>
      <w:r>
        <w:rPr>
          <w:rFonts w:hint="eastAsia" w:ascii="宋体" w:hAnsi="宋体" w:eastAsia="宋体" w:cs="宋体"/>
          <w:color w:val="auto"/>
          <w:highlight w:val="none"/>
        </w:rPr>
        <w:t>人（以下简称“评委”）组成，其中：由采购人派出的采购人代表</w:t>
      </w:r>
      <w:r>
        <w:rPr>
          <w:rFonts w:hint="eastAsia" w:ascii="宋体" w:hAnsi="宋体" w:eastAsia="宋体" w:cs="宋体"/>
          <w:color w:val="auto"/>
          <w:highlight w:val="none"/>
          <w:u w:val="single"/>
        </w:rPr>
        <w:t>1</w:t>
      </w:r>
      <w:r>
        <w:rPr>
          <w:rFonts w:hint="eastAsia" w:ascii="宋体" w:hAnsi="宋体" w:eastAsia="宋体" w:cs="宋体"/>
          <w:color w:val="auto"/>
          <w:highlight w:val="none"/>
        </w:rPr>
        <w:t>人，由福建省政府采购评审专家库产生的评标专家</w:t>
      </w:r>
      <w:r>
        <w:rPr>
          <w:rFonts w:hint="eastAsia" w:ascii="宋体" w:hAnsi="宋体" w:eastAsia="宋体" w:cs="宋体"/>
          <w:color w:val="auto"/>
          <w:highlight w:val="none"/>
          <w:u w:val="single"/>
        </w:rPr>
        <w:t>4</w:t>
      </w:r>
      <w:r>
        <w:rPr>
          <w:rFonts w:hint="eastAsia" w:ascii="宋体" w:hAnsi="宋体" w:eastAsia="宋体" w:cs="宋体"/>
          <w:color w:val="auto"/>
          <w:highlight w:val="none"/>
        </w:rPr>
        <w:t>人。</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5.2评标委员会负责具体评标事务，并按照下列原则依法独立履行有关职责：</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（1）评标应保护国家利益、社会公共利益和各方当事人合法权益，提高采购效益，保证项目质量。</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（2）评标应遵循公平、公正、科学、严谨和择优原则。</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（3）评标的依据是招标文件和投标文件。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（4）应按照招标文件规定推荐中标候选人或确定中标人。</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（5）评标应遵守下列评标纪律：</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①评标情况不得私自外泄，有关信息由</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统一对外发布。</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②对</w:t>
      </w:r>
      <w:r>
        <w:rPr>
          <w:rFonts w:hint="eastAsia" w:ascii="宋体" w:hAnsi="宋体" w:eastAsia="宋体" w:cs="宋体"/>
          <w:color w:val="auto"/>
          <w:highlight w:val="none"/>
          <w:u w:val="single"/>
        </w:rPr>
        <w:t>福建省招标中心有限责任公司</w:t>
      </w:r>
      <w:r>
        <w:rPr>
          <w:rFonts w:hint="eastAsia" w:ascii="宋体" w:hAnsi="宋体" w:eastAsia="宋体" w:cs="宋体"/>
          <w:color w:val="auto"/>
          <w:highlight w:val="none"/>
        </w:rPr>
        <w:t>或投标人提供的要求保密的资料，不得摘记翻印和外传。</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③不得收受投标人或有关人员的任何礼物，不得串联鼓动其他人袒护某投标人。若与投标人存在利害关系，则应主动声明并回避。</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④全体评委应按照招标文件规定进行评标，一切认定事项应查有实据且不得弄虚作假。</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⑤评标中应充分发扬民主，推荐中标候选人或确定中标人后要服从评标报告。</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※对违反评标纪律的评委，将取消其评委资格，对评标工作造成严重损失者将予以通报批评乃至追究法律责任。</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6、评标程序</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6.1评标前的准备工作</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（1）全体评委应认真审阅招标文件，了解评委应履行或遵守的职责、义务和评标纪律。</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6.2符合性审查</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（1）评标委员会依据招标文件的实质性要求，对通过资格审查的投标文件进行符合性审查，以确定其是否满足招标文件的实质性要求。</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（2）满足招标文件的实质性要求指投标文件对招标文件实质性要求的响应不存在重大偏差或保留。</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（5）评标委员会对所有投标人都执行相同的程序和标准。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（6）有下列情形之一的，</w:t>
      </w:r>
      <w:r>
        <w:rPr>
          <w:rStyle w:val="20"/>
          <w:rFonts w:hint="eastAsia" w:ascii="宋体" w:hAnsi="宋体" w:eastAsia="宋体" w:cs="宋体"/>
          <w:color w:val="auto"/>
          <w:highlight w:val="none"/>
        </w:rPr>
        <w:t>符合性审查不合格：</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①项目一般情形：</w:t>
      </w:r>
    </w:p>
    <w:tbl>
      <w:tblPr>
        <w:tblStyle w:val="18"/>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投标文件对招标文件实质性要求的响应存在重大偏离或保留。</w:t>
            </w:r>
          </w:p>
        </w:tc>
      </w:tr>
    </w:tbl>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②本项目规定的其他情形：</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 xml:space="preserve">包：1 </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包一般情形</w:t>
      </w:r>
    </w:p>
    <w:tbl>
      <w:tblPr>
        <w:tblStyle w:val="18"/>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29" w:hRule="atLeast"/>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投标人投标文件中的资格及资信证明部分不得出现全部或部分的投标报价信息（或组成资料），否则资格审查不合格。</w:t>
            </w:r>
          </w:p>
        </w:tc>
      </w:tr>
    </w:tbl>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技术符合性</w:t>
      </w:r>
    </w:p>
    <w:tbl>
      <w:tblPr>
        <w:tblStyle w:val="18"/>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1" w:hRule="atLeast"/>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按闽财购〔2010〕28号文件规定，若投标人的技术部分实际得分少于招标文件设定的技术部分总分50%，即视为技术部分未实质性响应招标文件要求，其投标无效。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技术项评审，投标人上传的内容不得出现出现全部或部分的投标报价信息或组成资料（技术项评分部分要求提供的“实施方案与作业方案、经费测算等情况”“财务成本风险控制情况”除外），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以“★”标示的内容或注有“按投标无效处理”的条例款均为不允许负偏离的实性质条款。不符合则投标无效。</w:t>
            </w:r>
          </w:p>
        </w:tc>
      </w:tr>
    </w:tbl>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商务符合性</w:t>
      </w:r>
    </w:p>
    <w:tbl>
      <w:tblPr>
        <w:tblStyle w:val="18"/>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招标文件第五章“三、商务条件”中内容出现负偏离的，其投标无效。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lang w:bidi="ar"/>
              </w:rPr>
              <w:t>商务项评审，投标人上传的内容不得出现全部或部分的投标报价信息或组成资料，否则符合性审查不合格。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以“★”标示的内容或注有“按投标无效处理”的条例款均为不允许负偏离的实性质条款。不符合则投标无效。</w:t>
            </w:r>
          </w:p>
        </w:tc>
      </w:tr>
    </w:tbl>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附加符合性</w:t>
      </w:r>
    </w:p>
    <w:p>
      <w:pPr>
        <w:widowControl/>
        <w:jc w:val="left"/>
        <w:rPr>
          <w:rFonts w:ascii="宋体" w:hAnsi="宋体" w:eastAsia="宋体" w:cs="宋体"/>
          <w:color w:val="auto"/>
          <w:kern w:val="0"/>
          <w:sz w:val="24"/>
          <w:highlight w:val="none"/>
          <w:lang w:bidi="ar"/>
        </w:rPr>
      </w:pPr>
      <w:r>
        <w:rPr>
          <w:rStyle w:val="20"/>
          <w:rFonts w:hint="eastAsia" w:ascii="宋体" w:hAnsi="宋体" w:eastAsia="宋体" w:cs="宋体"/>
          <w:color w:val="auto"/>
          <w:kern w:val="0"/>
          <w:sz w:val="24"/>
          <w:highlight w:val="none"/>
          <w:lang w:bidi="ar"/>
        </w:rPr>
        <w:t xml:space="preserve">         无</w:t>
      </w:r>
    </w:p>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价格符合性</w:t>
      </w:r>
    </w:p>
    <w:p>
      <w:pPr>
        <w:widowControl/>
        <w:jc w:val="left"/>
        <w:rPr>
          <w:rFonts w:ascii="宋体" w:hAnsi="宋体" w:eastAsia="宋体" w:cs="宋体"/>
          <w:color w:val="auto"/>
          <w:kern w:val="0"/>
          <w:sz w:val="24"/>
          <w:highlight w:val="none"/>
          <w:lang w:bidi="ar"/>
        </w:rPr>
      </w:pPr>
      <w:r>
        <w:rPr>
          <w:rStyle w:val="20"/>
          <w:rFonts w:hint="eastAsia" w:ascii="宋体" w:hAnsi="宋体" w:eastAsia="宋体" w:cs="宋体"/>
          <w:color w:val="auto"/>
          <w:kern w:val="0"/>
          <w:sz w:val="24"/>
          <w:highlight w:val="none"/>
          <w:lang w:bidi="ar"/>
        </w:rPr>
        <w:t xml:space="preserve">         无</w:t>
      </w:r>
    </w:p>
    <w:p>
      <w:pPr>
        <w:pStyle w:val="16"/>
        <w:rPr>
          <w:color w:val="auto"/>
          <w:highlight w:val="none"/>
        </w:rPr>
      </w:pP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 xml:space="preserve">包：2 </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包一般情形</w:t>
      </w:r>
    </w:p>
    <w:tbl>
      <w:tblPr>
        <w:tblStyle w:val="18"/>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9" w:hRule="atLeast"/>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投标人投标文件中的资格及资信证明部分不得出现全部或部分的投标报价信息（或组成资料），否则资格审查不合格。</w:t>
            </w:r>
          </w:p>
        </w:tc>
      </w:tr>
    </w:tbl>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技术符合性</w:t>
      </w:r>
    </w:p>
    <w:tbl>
      <w:tblPr>
        <w:tblStyle w:val="18"/>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1" w:hRule="atLeast"/>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按闽财购〔2010〕28号文件规定，若投标人的技术部分实际得分少于招标文件设定的技术部分总分50%，即视为技术部分未实质性响应招标文件要求，其投标无效。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技术项评审，投标人上传的内容不得出现出现全部或部分的投标报价信息或组成资料（技术项评分部分要求提供的“实施方案与作业方案、经费测算等情况”“财务成本风险控制情况”除外），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以“★”标示的内容或注有“按投标无效处理”的条例款均为不允许负偏离的实性质条款。不符合则投标无效。</w:t>
            </w:r>
          </w:p>
        </w:tc>
      </w:tr>
    </w:tbl>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商务符合性</w:t>
      </w:r>
    </w:p>
    <w:tbl>
      <w:tblPr>
        <w:tblStyle w:val="18"/>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highlight w:val="none"/>
              </w:rPr>
            </w:pPr>
            <w:r>
              <w:rPr>
                <w:rFonts w:hint="eastAsia"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招标文件第五章“三、商务条件”中内容出现负偏离的，其投标无效。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lang w:bidi="ar"/>
              </w:rPr>
              <w:t>商务项评审，投标人上传的内容不得出现全部或部分的投标报价信息或组成资料，否则符合性审查不合格。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以“★”标示的内容或注有“按投标无效处理”的条例款均为不允许负偏离的实性质条款。不符合则投标无效。</w:t>
            </w:r>
          </w:p>
        </w:tc>
      </w:tr>
    </w:tbl>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附加符合性</w:t>
      </w:r>
    </w:p>
    <w:p>
      <w:pPr>
        <w:widowControl/>
        <w:jc w:val="left"/>
        <w:rPr>
          <w:rFonts w:ascii="宋体" w:hAnsi="宋体" w:eastAsia="宋体" w:cs="宋体"/>
          <w:color w:val="auto"/>
          <w:kern w:val="0"/>
          <w:sz w:val="24"/>
          <w:highlight w:val="none"/>
          <w:lang w:bidi="ar"/>
        </w:rPr>
      </w:pPr>
      <w:r>
        <w:rPr>
          <w:rStyle w:val="20"/>
          <w:rFonts w:hint="eastAsia" w:ascii="宋体" w:hAnsi="宋体" w:eastAsia="宋体" w:cs="宋体"/>
          <w:color w:val="auto"/>
          <w:kern w:val="0"/>
          <w:sz w:val="24"/>
          <w:highlight w:val="none"/>
          <w:lang w:bidi="ar"/>
        </w:rPr>
        <w:t xml:space="preserve">         无</w:t>
      </w:r>
    </w:p>
    <w:p>
      <w:pPr>
        <w:widowControl/>
        <w:jc w:val="left"/>
        <w:rPr>
          <w:rFonts w:ascii="宋体" w:hAnsi="宋体" w:eastAsia="宋体" w:cs="宋体"/>
          <w:color w:val="auto"/>
          <w:kern w:val="0"/>
          <w:sz w:val="24"/>
          <w:highlight w:val="none"/>
          <w:lang w:bidi="ar"/>
        </w:rPr>
      </w:pPr>
    </w:p>
    <w:p>
      <w:pPr>
        <w:widowControl/>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价格符合性</w:t>
      </w:r>
    </w:p>
    <w:p>
      <w:pPr>
        <w:widowControl/>
        <w:jc w:val="left"/>
        <w:rPr>
          <w:rFonts w:ascii="宋体" w:hAnsi="宋体" w:eastAsia="宋体" w:cs="宋体"/>
          <w:color w:val="auto"/>
          <w:kern w:val="0"/>
          <w:sz w:val="24"/>
          <w:highlight w:val="none"/>
          <w:lang w:bidi="ar"/>
        </w:rPr>
      </w:pPr>
      <w:r>
        <w:rPr>
          <w:rStyle w:val="20"/>
          <w:rFonts w:hint="eastAsia" w:ascii="宋体" w:hAnsi="宋体" w:eastAsia="宋体" w:cs="宋体"/>
          <w:color w:val="auto"/>
          <w:kern w:val="0"/>
          <w:sz w:val="24"/>
          <w:highlight w:val="none"/>
          <w:lang w:bidi="ar"/>
        </w:rPr>
        <w:t xml:space="preserve">         无</w:t>
      </w:r>
    </w:p>
    <w:p>
      <w:pPr>
        <w:pStyle w:val="16"/>
        <w:rPr>
          <w:color w:val="auto"/>
          <w:highlight w:val="none"/>
        </w:rPr>
      </w:pP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6.3澄清有关问题</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highlight w:val="none"/>
        </w:rPr>
        <w:t>（1）对通过符合性审查的投标文件中含义不明确、同类问题表述不一致或有明显文字和计算错误的内容，评标委员会将以书面形式要求投标人作出必要的澄清、说明或补正。</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（3）投标文件报价出现前后不一致的，除招标文件另有规定外，按照下列规定修正：</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①开标一览表内容与投标文件中相应内容不一致的，以开标一览表为准；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②大写金额和小写金额不一致的，以大写金额为准；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③单价金额小数点或百分比有明显错位的，以开标一览表的总价为准，并修改单价；</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④总价金额与按照单价汇总金额不一致的，以单价金额计算结果为准。</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※同时出现两种以上不一致的，按照前款规定的顺序修正。修正后的报价应按照本章第6.3条第（1）、（2）款规定经投标人确认后产生约束力，投标人不确认的，其投标无效。</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（4）关于细微偏差</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②评标委员会将以书面形式要求存在细微偏差的投标人在评标委员会规定的时间内予以补正。若无法补正，则评标委员会将按照不利于投标人的内容进行认定。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（5）关于投标描述（即投标文件中描述的内容）</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①投标描述前后不一致且不涉及证明材料的：按照本章第6.3条第（1）、（2）款规定执行。</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②投标描述与证明材料不一致或多份证明材料之间不一致的：</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a.评标委员会将要求投标人进行书面澄清，并按照不利于投标人的内容进行评标。</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6.4比较与评价</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（1）按照本章第7条载明的评标方法和标准，对符合性审查合格的投标文件进行比较与评价。</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（2）关于相同品牌产品</w:t>
      </w:r>
      <w:r>
        <w:rPr>
          <w:rStyle w:val="20"/>
          <w:rFonts w:hint="eastAsia" w:ascii="宋体" w:hAnsi="宋体" w:eastAsia="宋体" w:cs="宋体"/>
          <w:color w:val="auto"/>
          <w:highlight w:val="none"/>
        </w:rPr>
        <w:t>（政府采购服务类项目不适用本条款规定）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a.招标文件规定的方式：</w:t>
      </w:r>
      <w:r>
        <w:rPr>
          <w:rFonts w:hint="eastAsia" w:ascii="宋体" w:hAnsi="宋体" w:eastAsia="宋体" w:cs="宋体"/>
          <w:color w:val="auto"/>
          <w:highlight w:val="none"/>
          <w:u w:val="single"/>
        </w:rPr>
        <w:t>无</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b.招标文件未规定的，采取随机抽取方式确定，其他</w:t>
      </w:r>
      <w:r>
        <w:rPr>
          <w:rStyle w:val="20"/>
          <w:rFonts w:hint="eastAsia" w:ascii="宋体" w:hAnsi="宋体" w:eastAsia="宋体" w:cs="宋体"/>
          <w:color w:val="auto"/>
          <w:highlight w:val="none"/>
        </w:rPr>
        <w:t>投标无效。</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a.招标文件规定的方式：</w:t>
      </w:r>
      <w:r>
        <w:rPr>
          <w:rFonts w:hint="eastAsia" w:ascii="宋体" w:hAnsi="宋体" w:eastAsia="宋体" w:cs="宋体"/>
          <w:color w:val="auto"/>
          <w:highlight w:val="none"/>
          <w:u w:val="single"/>
        </w:rPr>
        <w:t>无</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b.招标文件未规定的，采取随机抽取方式确定，其他同品牌投标人不作为中标候选人。</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③非单一产品采购项目，多家投标人提供的核心产品品牌相同的，按照本章第6.4条第（2）款第①、②规定处理。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（3）漏（缺）项</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①招标文件中要求列入报价的费用（含配置、功能），漏（缺）项的报价视为已经包括在投标总价中。</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②对多报项及赠送项的价格评标时不予核减，全部进入评标价评议。</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6.5推荐中标候选人：详见本章第7.2条规定。</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6.6编写评标报告</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（1）评标报告由评标委员会负责编写。</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（2）评标报告应包括下列内容：</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①招标公告刊登的媒体名称、开标日期和地点；</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②投标人名单和评标委员会成员名单；</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③评标方法和标准；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④开标记录和评标情况及说明，包括无效投标人名单及原因；</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⑤评标结果，包括中标候选人名单或确定的中标人；</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⑥其他需要说明的情况，包括但不限于：评标过程中投标人的澄清、说明或补正，评委更换等。</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20"/>
          <w:rFonts w:hint="eastAsia" w:ascii="宋体" w:hAnsi="宋体" w:eastAsia="宋体" w:cs="宋体"/>
          <w:color w:val="auto"/>
          <w:highlight w:val="none"/>
        </w:rPr>
        <w:t>投标无效</w:t>
      </w:r>
      <w:r>
        <w:rPr>
          <w:rFonts w:hint="eastAsia" w:ascii="宋体" w:hAnsi="宋体" w:eastAsia="宋体" w:cs="宋体"/>
          <w:color w:val="auto"/>
          <w:highlight w:val="none"/>
        </w:rPr>
        <w:t>处理。</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6.8评委对需要共同认定的事项存在争议的，应按照少数服从多数的原则进行认定。</w:t>
      </w:r>
      <w:r>
        <w:rPr>
          <w:rStyle w:val="20"/>
          <w:rFonts w:hint="eastAsia" w:ascii="宋体" w:hAnsi="宋体" w:eastAsia="宋体" w:cs="宋体"/>
          <w:color w:val="auto"/>
          <w:highlight w:val="none"/>
        </w:rPr>
        <w:t>持不同意见的评委应在评标报告上签署不同意见及理由，否则视为同意评标报告。</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6.9在评标过程中发现投标人有下列情形之一的，评标委员会应认定其</w:t>
      </w:r>
      <w:r>
        <w:rPr>
          <w:rStyle w:val="20"/>
          <w:rFonts w:hint="eastAsia" w:ascii="宋体" w:hAnsi="宋体" w:eastAsia="宋体" w:cs="宋体"/>
          <w:color w:val="auto"/>
          <w:highlight w:val="none"/>
        </w:rPr>
        <w:t>投标无效</w:t>
      </w:r>
      <w:r>
        <w:rPr>
          <w:rFonts w:hint="eastAsia" w:ascii="宋体" w:hAnsi="宋体" w:eastAsia="宋体" w:cs="宋体"/>
          <w:color w:val="auto"/>
          <w:highlight w:val="none"/>
        </w:rPr>
        <w:t>，并书面报告本项目监督管理部门：</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（1）恶意串通（包括但不限于招标文件第三章第9.7条规定情形）；</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（2）妨碍其他投标人的竞争行为；</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（3）损害采购人或其他投标人的合法权益。</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6.10评标过程中，有下列情形之一的，应予废标：</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（1）符合性审查合格的投标人不足三家的；</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（2）有关法律、法规和规章规定废标的情形。</w:t>
      </w:r>
    </w:p>
    <w:p>
      <w:pPr>
        <w:pStyle w:val="14"/>
        <w:widowControl/>
        <w:spacing w:before="75" w:beforeAutospacing="0" w:after="75"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※若废标，则本次采购活动结束，</w:t>
      </w:r>
      <w:r>
        <w:rPr>
          <w:rFonts w:hint="eastAsia" w:ascii="宋体" w:hAnsi="宋体" w:eastAsia="宋体" w:cs="宋体"/>
          <w:color w:val="auto"/>
          <w:highlight w:val="none"/>
          <w:u w:val="single"/>
        </w:rPr>
        <w:t>福建省招标中心有限责任公司</w:t>
      </w:r>
      <w:r>
        <w:rPr>
          <w:rStyle w:val="20"/>
          <w:rFonts w:hint="eastAsia" w:ascii="宋体" w:hAnsi="宋体" w:eastAsia="宋体" w:cs="宋体"/>
          <w:color w:val="auto"/>
          <w:highlight w:val="none"/>
        </w:rPr>
        <w:t>将依法组织后续采购活动（包括但不限于：重新招标、采用其他方式采购等）。</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7、评标方法和标准</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7.1评标方法： 合同包1采用综合评分法。</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7.2评标标准</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hd w:val="clear" w:color="auto" w:fill="FFFFFF"/>
        <w:spacing w:beforeAutospacing="0" w:after="150" w:afterAutospacing="0"/>
        <w:rPr>
          <w:rFonts w:ascii="宋体" w:hAnsi="宋体" w:eastAsia="宋体" w:cs="宋体"/>
          <w:color w:val="auto"/>
          <w:sz w:val="19"/>
          <w:szCs w:val="19"/>
          <w:highlight w:val="none"/>
        </w:rPr>
      </w:pPr>
      <w:r>
        <w:rPr>
          <w:rStyle w:val="20"/>
          <w:rFonts w:hint="eastAsia" w:ascii="宋体" w:hAnsi="宋体" w:eastAsia="宋体" w:cs="宋体"/>
          <w:color w:val="auto"/>
          <w:highlight w:val="none"/>
          <w:shd w:val="clear" w:color="auto" w:fill="FFFFFF"/>
        </w:rPr>
        <w:t>合同包1采用综合评分法</w:t>
      </w:r>
      <w:r>
        <w:rPr>
          <w:rFonts w:hint="eastAsia" w:ascii="宋体" w:hAnsi="宋体" w:eastAsia="宋体" w:cs="宋体"/>
          <w:color w:val="auto"/>
          <w:highlight w:val="none"/>
          <w:shd w:val="clear" w:color="auto" w:fill="FFFFFF"/>
        </w:rPr>
        <w:t>：</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（1）投标文件满足招标文件全部实质性要求，且按照评审因素的量化指标评审得分（即评标总得分）最高的投标人为中标候选人。</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（3）各项评审因素的设置如下：</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①价格项（F1×A1）满分为</w:t>
      </w:r>
      <w:r>
        <w:rPr>
          <w:rFonts w:hint="eastAsia" w:ascii="宋体" w:hAnsi="宋体" w:eastAsia="宋体" w:cs="宋体"/>
          <w:color w:val="auto"/>
          <w:highlight w:val="none"/>
          <w:u w:val="single"/>
        </w:rPr>
        <w:t xml:space="preserve"> 30 </w:t>
      </w:r>
      <w:r>
        <w:rPr>
          <w:rFonts w:hint="eastAsia" w:ascii="宋体" w:hAnsi="宋体" w:eastAsia="宋体" w:cs="宋体"/>
          <w:color w:val="auto"/>
          <w:highlight w:val="none"/>
        </w:rPr>
        <w:t>分。</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b.价格扣除的规则如下：</w:t>
      </w:r>
    </w:p>
    <w:tbl>
      <w:tblPr>
        <w:tblStyle w:val="18"/>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13"/>
        <w:gridCol w:w="69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31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评标项目</w:t>
            </w:r>
          </w:p>
        </w:tc>
        <w:tc>
          <w:tcPr>
            <w:tcW w:w="6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31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小型、微型企业，监狱企业，残疾人</w:t>
            </w:r>
          </w:p>
        </w:tc>
        <w:tc>
          <w:tcPr>
            <w:tcW w:w="6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Cs/>
                <w:color w:val="auto"/>
                <w:highlight w:val="none"/>
              </w:rPr>
            </w:pPr>
            <w:r>
              <w:rPr>
                <w:rStyle w:val="20"/>
                <w:rFonts w:ascii="宋体" w:hAnsi="宋体" w:eastAsia="宋体" w:cs="宋体"/>
                <w:b w:val="0"/>
                <w:bCs/>
                <w:color w:val="auto"/>
                <w:sz w:val="24"/>
                <w:highlight w:val="none"/>
              </w:rPr>
              <w:t>①</w:t>
            </w:r>
            <w:r>
              <w:rPr>
                <w:rStyle w:val="20"/>
                <w:rFonts w:hint="eastAsia" w:ascii="宋体" w:hAnsi="宋体" w:eastAsia="宋体" w:cs="宋体"/>
                <w:b w:val="0"/>
                <w:bCs/>
                <w:color w:val="auto"/>
                <w:sz w:val="24"/>
                <w:highlight w:val="none"/>
              </w:rPr>
              <w:t>本合同包不属于专门面向中小企业预留份额的招标项目，因此根据《政府采购促进中小企业发展暂行办法》财库〔2020〕46号文的规定，符合以下规则条件的投标人将依法享受相应的价格扣除优惠政策，用扣除后的价格参加评审。服务采购项目中，服务由中小企业主体承接的，才能享受相应扶持政策。本合同包投标人自身承接全部服务内容，且投标人符合政府采购相关法规要求的小微企业划分标准，将依法享受价格扣除的优惠政策，对其报价给予10%的价格扣除，用扣除后的价格参加评审。投标人必须在投标文件中按照招标文件第七章所附格式如实填写《中小企业声明函》，投标人应当对其承诺和提供材料的真实性、合法性和准确性负责。未按招标文件要求提供《中小企业声明函》，视同为投标人不满足小微企业条件和标准，不享受价格扣除的优惠政策。②根据财政部、司法部联合印发《关于政府采购支持监狱企业发展有关问题的通知》（财库[2014]68号）文以及财政部、民政部、中国残联联合发布关于促进残疾人就业政府采购政策的通知（财库[2017]141号）文的有关规定，监狱企业和残疾人福利性单位视同为小型、微型企业。监狱企业或残疾人福利性单位参加本合同包投标且全部服务内容均由其自身承接的，将依法享受价格扣除的优惠政策，对其报价给予10%的价格扣除，用扣除后的价格参加评审。但监狱企业必须提供由省级以上监狱管理局、戒毒管理局（含新疆生产建设兵团）出具的属于监狱企业的证明文件，否则评审时不享受价格扣除的优惠政策；残疾人福利性单位必须如实提供《残疾人福利性单位声明函》，否则评审时不享受价格扣除的优惠政策。③上述规定与政府采购相关法律、法规、制度等有冲突的，以现行法律、法规、制度等执行。</w:t>
            </w:r>
          </w:p>
        </w:tc>
      </w:tr>
    </w:tbl>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②技术项（F2×A2）满分为</w:t>
      </w:r>
      <w:r>
        <w:rPr>
          <w:rFonts w:hint="eastAsia" w:ascii="宋体" w:hAnsi="宋体" w:eastAsia="宋体" w:cs="宋体"/>
          <w:color w:val="auto"/>
          <w:highlight w:val="none"/>
          <w:u w:val="single"/>
        </w:rPr>
        <w:t>45</w:t>
      </w:r>
      <w:r>
        <w:rPr>
          <w:rFonts w:hint="eastAsia" w:ascii="宋体" w:hAnsi="宋体" w:eastAsia="宋体" w:cs="宋体"/>
          <w:color w:val="auto"/>
          <w:highlight w:val="none"/>
        </w:rPr>
        <w:t>分。</w:t>
      </w:r>
    </w:p>
    <w:tbl>
      <w:tblPr>
        <w:tblStyle w:val="18"/>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43"/>
        <w:gridCol w:w="700"/>
        <w:gridCol w:w="64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143"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评标项目</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评标分值</w:t>
            </w:r>
          </w:p>
        </w:tc>
        <w:tc>
          <w:tcPr>
            <w:tcW w:w="6478"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r>
              <w:rPr>
                <w:rFonts w:hint="eastAsia" w:ascii="宋体" w:hAnsi="宋体" w:eastAsia="宋体" w:cs="宋体"/>
                <w:color w:val="auto"/>
                <w:sz w:val="24"/>
                <w:highlight w:val="none"/>
              </w:rPr>
              <w:t>管理工作计划及组织实施方案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投标人提供</w:t>
            </w:r>
            <w:r>
              <w:rPr>
                <w:rFonts w:hint="eastAsia" w:ascii="宋体" w:hAnsi="宋体" w:eastAsia="宋体" w:cs="宋体"/>
                <w:color w:val="auto"/>
                <w:sz w:val="24"/>
                <w:highlight w:val="none"/>
              </w:rPr>
              <w:t>公厕、转运收集站点管理工作计划及组织实施方案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51" w:hRule="atLeast"/>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2.工作质量目标、实施措施</w:t>
            </w:r>
            <w:r>
              <w:rPr>
                <w:rFonts w:hint="eastAsia" w:ascii="宋体" w:hAnsi="宋体" w:eastAsia="宋体" w:cs="宋体"/>
                <w:color w:val="auto"/>
                <w:sz w:val="24"/>
                <w:highlight w:val="none"/>
              </w:rPr>
              <w:t>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投标人提供公厕、转运收集站点管理工作质量目标、实施措施</w:t>
            </w:r>
            <w:r>
              <w:rPr>
                <w:rFonts w:hint="eastAsia" w:ascii="宋体" w:hAnsi="宋体" w:eastAsia="宋体" w:cs="宋体"/>
                <w:color w:val="auto"/>
                <w:sz w:val="24"/>
                <w:highlight w:val="none"/>
              </w:rPr>
              <w:t>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3.工作任务安排方案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投标人提供日常及重大活动、节假日公厕、转运收集站点管理工作任务安排方案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4.过渡交接计划安排与组织实施方案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投标人提供过渡交接计划安排与组织实施方案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5.车辆安排及作业方案</w:t>
            </w:r>
          </w:p>
        </w:tc>
        <w:tc>
          <w:tcPr>
            <w:tcW w:w="700" w:type="dxa"/>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投标人提供公厕清渣及转运收集站点污水抽吸车辆安排及作业方案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6.安排人员及班次情况</w:t>
            </w:r>
            <w:r>
              <w:rPr>
                <w:rFonts w:hint="eastAsia" w:ascii="宋体" w:hAnsi="宋体" w:eastAsia="宋体" w:cs="宋体"/>
                <w:color w:val="auto"/>
                <w:kern w:val="0"/>
                <w:sz w:val="24"/>
                <w:highlight w:val="none"/>
                <w:lang w:val="en-US" w:eastAsia="zh-CN" w:bidi="ar"/>
              </w:rPr>
              <w:t>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投标人提供对合同包拟安排人员及班次情况</w:t>
            </w:r>
            <w:r>
              <w:rPr>
                <w:rFonts w:hint="eastAsia" w:ascii="宋体" w:hAnsi="宋体" w:eastAsia="宋体" w:cs="宋体"/>
                <w:color w:val="auto"/>
                <w:kern w:val="0"/>
                <w:sz w:val="24"/>
                <w:highlight w:val="none"/>
                <w:lang w:val="en-US" w:eastAsia="zh-CN" w:bidi="ar"/>
              </w:rPr>
              <w:t>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r>
              <w:rPr>
                <w:rFonts w:ascii="宋体" w:hAnsi="宋体" w:eastAsia="宋体" w:cs="宋体"/>
                <w:color w:val="auto"/>
                <w:kern w:val="0"/>
                <w:sz w:val="24"/>
                <w:highlight w:val="none"/>
                <w:lang w:bidi="ar"/>
              </w:rPr>
              <w:t>项目负责人(项目经理)的工作经验</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拟担任本项目负责人(项目经理)的学历、工作经验等情况。投标人拟派驻的项目负责人(项目经理)具有本科及以上学历证书，并具有3年以上工作经验；具有环境卫生作业项目管理人员资格证书；具有垃圾处理工程师证书。每提供1项得1分。满分得3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必须提供身份证复印件及投标截止时间前六个月（不含投标截止时间当月）任意一个月由投标人为其缴纳社保的证明材料，并加盖投标人单位公章，并提供以下证明材料：①学历证书复印件及中国高等教育学生信息网（学信网）查询结果截图、工作经验证明承诺函；②环境卫生作业项目管理人员资格证书复印件；③垃圾处理工程师证书复印件。每提供1项得1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8.人员培训计划及档案管理</w:t>
            </w:r>
            <w:r>
              <w:rPr>
                <w:rFonts w:hint="eastAsia" w:ascii="宋体" w:hAnsi="宋体" w:eastAsia="宋体" w:cs="宋体"/>
                <w:color w:val="auto"/>
                <w:kern w:val="0"/>
                <w:sz w:val="24"/>
                <w:highlight w:val="none"/>
                <w:lang w:val="en-US" w:eastAsia="zh-CN" w:bidi="ar"/>
              </w:rPr>
              <w:t>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投标提供人员培训计划及档案管理</w:t>
            </w:r>
            <w:r>
              <w:rPr>
                <w:rFonts w:hint="eastAsia" w:ascii="宋体" w:hAnsi="宋体" w:eastAsia="宋体" w:cs="宋体"/>
                <w:color w:val="auto"/>
                <w:kern w:val="0"/>
                <w:sz w:val="24"/>
                <w:highlight w:val="none"/>
                <w:lang w:val="en-US" w:eastAsia="zh-CN" w:bidi="ar"/>
              </w:rPr>
              <w:t>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9.管理规章制度方案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w:t>
            </w:r>
            <w:r>
              <w:rPr>
                <w:rFonts w:hint="eastAsia" w:ascii="宋体" w:hAnsi="宋体" w:eastAsia="宋体" w:cs="宋体"/>
                <w:color w:val="auto"/>
                <w:kern w:val="0"/>
                <w:sz w:val="24"/>
                <w:highlight w:val="none"/>
                <w:lang w:val="en-US" w:eastAsia="zh-CN" w:bidi="ar"/>
              </w:rPr>
              <w:t>提供</w:t>
            </w:r>
            <w:r>
              <w:rPr>
                <w:rFonts w:hint="eastAsia" w:ascii="宋体" w:hAnsi="宋体" w:eastAsia="宋体" w:cs="宋体"/>
                <w:color w:val="auto"/>
                <w:kern w:val="0"/>
                <w:sz w:val="24"/>
                <w:highlight w:val="none"/>
                <w:lang w:bidi="ar"/>
              </w:rPr>
              <w:t>制定的管理规章制度</w:t>
            </w:r>
            <w:r>
              <w:rPr>
                <w:rFonts w:hint="eastAsia" w:ascii="宋体" w:hAnsi="宋体" w:eastAsia="宋体" w:cs="宋体"/>
                <w:color w:val="auto"/>
                <w:kern w:val="0"/>
                <w:sz w:val="24"/>
                <w:highlight w:val="none"/>
                <w:lang w:val="en-US" w:eastAsia="zh-CN" w:bidi="ar"/>
              </w:rPr>
              <w:t>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10.劳保用品配置方案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投标人</w:t>
            </w:r>
            <w:r>
              <w:rPr>
                <w:rFonts w:hint="eastAsia" w:ascii="宋体" w:hAnsi="宋体" w:eastAsia="宋体" w:cs="宋体"/>
                <w:color w:val="auto"/>
                <w:kern w:val="0"/>
                <w:sz w:val="24"/>
                <w:highlight w:val="none"/>
                <w:lang w:val="en-US" w:eastAsia="zh-CN" w:bidi="ar"/>
              </w:rPr>
              <w:t>提供</w:t>
            </w:r>
            <w:r>
              <w:rPr>
                <w:rFonts w:hint="eastAsia" w:ascii="宋体" w:hAnsi="宋体" w:eastAsia="宋体" w:cs="宋体"/>
                <w:color w:val="auto"/>
                <w:kern w:val="0"/>
                <w:sz w:val="24"/>
                <w:highlight w:val="none"/>
                <w:lang w:bidi="ar"/>
              </w:rPr>
              <w:t>制定的劳保用品配置方案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11.安全保证措施方案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w:t>
            </w:r>
            <w:r>
              <w:rPr>
                <w:rFonts w:hint="eastAsia" w:ascii="宋体" w:hAnsi="宋体" w:eastAsia="宋体" w:cs="宋体"/>
                <w:color w:val="auto"/>
                <w:kern w:val="0"/>
                <w:sz w:val="24"/>
                <w:highlight w:val="none"/>
                <w:lang w:val="en-US" w:eastAsia="zh-CN" w:bidi="ar"/>
              </w:rPr>
              <w:t>提供</w:t>
            </w:r>
            <w:r>
              <w:rPr>
                <w:rFonts w:hint="eastAsia" w:ascii="宋体" w:hAnsi="宋体" w:eastAsia="宋体" w:cs="宋体"/>
                <w:color w:val="auto"/>
                <w:kern w:val="0"/>
                <w:sz w:val="24"/>
                <w:highlight w:val="none"/>
                <w:lang w:bidi="ar"/>
              </w:rPr>
              <w:t>制定的安全保证措施（如垃圾运输安全作业措施、安全事故应急处理预案、工人劳动安全保障等)方案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12.作业培训、生产安全、文明服务方案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w:t>
            </w:r>
            <w:r>
              <w:rPr>
                <w:rFonts w:hint="eastAsia" w:ascii="宋体" w:hAnsi="宋体" w:eastAsia="宋体" w:cs="宋体"/>
                <w:color w:val="auto"/>
                <w:kern w:val="0"/>
                <w:sz w:val="24"/>
                <w:highlight w:val="none"/>
                <w:lang w:val="en-US" w:eastAsia="zh-CN" w:bidi="ar"/>
              </w:rPr>
              <w:t>提供</w:t>
            </w:r>
            <w:r>
              <w:rPr>
                <w:rFonts w:hint="eastAsia" w:ascii="宋体" w:hAnsi="宋体" w:eastAsia="宋体" w:cs="宋体"/>
                <w:color w:val="auto"/>
                <w:kern w:val="0"/>
                <w:sz w:val="24"/>
                <w:highlight w:val="none"/>
                <w:lang w:bidi="ar"/>
              </w:rPr>
              <w:t>对企业及本项目组织开展的作业培训、生产安全、文明服务等具体实施方案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13.应急预案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投标人提供针对重大活动、不可抗力的自然灾害及突发事件(如紧急报修、发生治安事件、台风、暴雨、火灾等)应急预案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21" w:hRule="atLeast"/>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14.实施方案与作业方案、经费测算等情况</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投标人提供实施方案与作业方案一致性、经费测算相互吻合情况分析方案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15.财务成本风险控制情况</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投标人提供财务成本风险控制情况分析方案（须提供详细的测算依据及说明，供应商提供的财务成本风险控制测算依据符合劳动法及国家和省、市颁布的工人福利待遇标准）</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bl>
    <w:p>
      <w:pPr>
        <w:pStyle w:val="14"/>
        <w:widowControl/>
        <w:spacing w:beforeAutospacing="0" w:after="150" w:afterAutospacing="0"/>
        <w:ind w:firstLine="480"/>
        <w:rPr>
          <w:rFonts w:ascii="宋体" w:hAnsi="宋体" w:eastAsia="宋体" w:cs="宋体"/>
          <w:color w:val="auto"/>
          <w:highlight w:val="none"/>
        </w:rPr>
      </w:pP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③商务项（F3×A3）满分为</w:t>
      </w:r>
      <w:r>
        <w:rPr>
          <w:rFonts w:hint="eastAsia" w:ascii="宋体" w:hAnsi="宋体" w:eastAsia="宋体" w:cs="宋体"/>
          <w:color w:val="auto"/>
          <w:highlight w:val="none"/>
          <w:u w:val="single"/>
        </w:rPr>
        <w:t>25</w:t>
      </w:r>
      <w:r>
        <w:rPr>
          <w:rFonts w:hint="eastAsia" w:ascii="宋体" w:hAnsi="宋体" w:eastAsia="宋体" w:cs="宋体"/>
          <w:color w:val="auto"/>
          <w:highlight w:val="none"/>
        </w:rPr>
        <w:t>分。</w:t>
      </w:r>
    </w:p>
    <w:tbl>
      <w:tblPr>
        <w:tblStyle w:val="18"/>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68"/>
        <w:gridCol w:w="675"/>
        <w:gridCol w:w="64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168"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评标项目</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评标分值</w:t>
            </w:r>
          </w:p>
        </w:tc>
        <w:tc>
          <w:tcPr>
            <w:tcW w:w="6478"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1.综合实力（1）</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投标人获得环境卫生行业评定的环境卫生作业资信等级证书甲级或一级的得1分；满分1分。需提供信用等级证书复印件并加盖公章，否则不得分。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2.自有产权作业车辆种类情况</w:t>
            </w:r>
          </w:p>
        </w:tc>
        <w:tc>
          <w:tcPr>
            <w:tcW w:w="675" w:type="dxa"/>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根据投标人</w:t>
            </w:r>
            <w:r>
              <w:rPr>
                <w:rFonts w:hint="eastAsia" w:asciiTheme="minorEastAsia" w:hAnsiTheme="minorEastAsia" w:cstheme="minorEastAsia"/>
                <w:color w:val="auto"/>
                <w:kern w:val="0"/>
                <w:sz w:val="24"/>
                <w:highlight w:val="none"/>
                <w:lang w:val="en-US" w:eastAsia="zh-CN" w:bidi="ar"/>
              </w:rPr>
              <w:t>在满足招标文件</w:t>
            </w:r>
            <w:r>
              <w:rPr>
                <w:rFonts w:hint="eastAsia" w:asciiTheme="minorEastAsia" w:hAnsiTheme="minorEastAsia" w:cstheme="minorEastAsia"/>
                <w:color w:val="auto"/>
                <w:kern w:val="0"/>
                <w:sz w:val="24"/>
                <w:highlight w:val="none"/>
                <w:lang w:bidi="ar"/>
              </w:rPr>
              <w:t>现有服务范围内的最低车辆配备要求</w:t>
            </w:r>
            <w:r>
              <w:rPr>
                <w:rFonts w:hint="eastAsia" w:asciiTheme="minorEastAsia" w:hAnsiTheme="minorEastAsia" w:cstheme="minorEastAsia"/>
                <w:color w:val="auto"/>
                <w:kern w:val="0"/>
                <w:sz w:val="24"/>
                <w:highlight w:val="none"/>
                <w:lang w:val="en-US" w:eastAsia="zh-CN" w:bidi="ar"/>
              </w:rPr>
              <w:t>的基础上，</w:t>
            </w:r>
            <w:r>
              <w:rPr>
                <w:rFonts w:hint="eastAsia" w:ascii="宋体" w:hAnsi="宋体" w:eastAsia="宋体" w:cs="宋体"/>
                <w:color w:val="auto"/>
                <w:kern w:val="0"/>
                <w:sz w:val="24"/>
                <w:highlight w:val="none"/>
                <w:lang w:bidi="ar"/>
              </w:rPr>
              <w:t>提供的自2018年1月1日(含)以后购置的自有产权总质量5吨(含)以上专业抽粪清渣车情况，</w:t>
            </w:r>
            <w:r>
              <w:rPr>
                <w:rFonts w:hint="eastAsia" w:asciiTheme="minorEastAsia" w:hAnsiTheme="minorEastAsia" w:cstheme="minorEastAsia"/>
                <w:color w:val="auto"/>
                <w:kern w:val="0"/>
                <w:sz w:val="24"/>
                <w:highlight w:val="none"/>
                <w:lang w:bidi="ar"/>
              </w:rPr>
              <w:t>每</w:t>
            </w:r>
            <w:r>
              <w:rPr>
                <w:rFonts w:hint="eastAsia" w:asciiTheme="minorEastAsia" w:hAnsiTheme="minorEastAsia" w:cstheme="minorEastAsia"/>
                <w:color w:val="auto"/>
                <w:kern w:val="0"/>
                <w:sz w:val="24"/>
                <w:highlight w:val="none"/>
                <w:lang w:val="en-US" w:eastAsia="zh-CN" w:bidi="ar"/>
              </w:rPr>
              <w:t>增加</w:t>
            </w:r>
            <w:r>
              <w:rPr>
                <w:rFonts w:hint="eastAsia" w:asciiTheme="minorEastAsia" w:hAnsiTheme="minorEastAsia" w:cstheme="minorEastAsia"/>
                <w:color w:val="auto"/>
                <w:kern w:val="0"/>
                <w:sz w:val="24"/>
                <w:highlight w:val="none"/>
                <w:lang w:bidi="ar"/>
              </w:rPr>
              <w:t>一辆</w:t>
            </w:r>
            <w:r>
              <w:rPr>
                <w:rFonts w:hint="eastAsia" w:asciiTheme="minorEastAsia" w:hAnsiTheme="minorEastAsia" w:cstheme="minorEastAsia"/>
                <w:color w:val="auto"/>
                <w:kern w:val="0"/>
                <w:sz w:val="24"/>
                <w:highlight w:val="none"/>
                <w:lang w:val="en-US" w:eastAsia="zh-CN" w:bidi="ar"/>
              </w:rPr>
              <w:t>的</w:t>
            </w:r>
            <w:r>
              <w:rPr>
                <w:rFonts w:hint="eastAsia" w:ascii="宋体" w:hAnsi="宋体" w:eastAsia="宋体" w:cs="宋体"/>
                <w:color w:val="auto"/>
                <w:kern w:val="0"/>
                <w:sz w:val="24"/>
                <w:highlight w:val="none"/>
                <w:lang w:bidi="ar"/>
              </w:rPr>
              <w:t>得1分，满分3分。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注：投标人须提供有效的行驶证复印件、购置发票复印件和产权证明复印件(即《机动车登记证书》)，并加盖投标人单位公章。材料提供不齐全或者未提供的不得分。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3.管理体系认证</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投标人通过质量管理体系认证并在认证有效期限内的得1分。（2）投标人通过环境管理体系认证并在认证有效期限内的得1分。（3）投标人通过职业健康安全管理体系认证并在认证有效期限内得1分。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注：投标人应在投标文件中附上相关有效认证证书复印件及</w:t>
            </w:r>
            <w:r>
              <w:rPr>
                <w:color w:val="auto"/>
                <w:highlight w:val="none"/>
              </w:rPr>
              <w:fldChar w:fldCharType="begin"/>
            </w:r>
            <w:r>
              <w:rPr>
                <w:color w:val="auto"/>
                <w:highlight w:val="none"/>
              </w:rPr>
              <w:instrText xml:space="preserve"> HYPERLINK "http://www.so.com/link?m=aZXc8GeoCz5rk30f1F73FwwRe9gLZEUrsC3aIkdbd38dKrZ/49R1cWBacd6fvuZj8zcQC1qtOKqdq5s1csCiXNnbYASXRUEkZ9dPp/6v/LmY=" \t "https://www.so.com/_blank" </w:instrText>
            </w:r>
            <w:r>
              <w:rPr>
                <w:color w:val="auto"/>
                <w:highlight w:val="none"/>
              </w:rPr>
              <w:fldChar w:fldCharType="separate"/>
            </w:r>
            <w:r>
              <w:rPr>
                <w:rFonts w:hint="eastAsia" w:ascii="宋体" w:hAnsi="宋体" w:eastAsia="宋体" w:cs="宋体"/>
                <w:color w:val="auto"/>
                <w:kern w:val="0"/>
                <w:sz w:val="24"/>
                <w:highlight w:val="none"/>
                <w:lang w:bidi="ar"/>
              </w:rPr>
              <w:t>中国国家认证认可监督管理委员会</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或中国合格评定国家认可委员会统一查询截图，并加盖投标人单位公章。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4.人身意外保险情况</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根据投标人2019年1月1日至本次投标截止日期为公司环卫工人购买的有效期内的人身意外保险情况(包括个人意外险或雇主责任险)进行评审，①环卫工人死亡伤残赔付限额少于60万元的不得分，赔付限额多于60万元(含60万元)的得1分；②若投标人承诺在中标后为投入本项目的所有作业人员购买赔付限额多于60万元(含60万元)的的人身意外保险(包括个人意外险或雇主责任险)的得2分。本项满分3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①投标人须同时提供保险单据复印件及保险承保明细表，并加盖投标人公章；②提供承诺函（格式自拟），并加盖公章。材料提供不齐全或者未提供的不得分。若发现投标人提供虚假材料的，中标企业取消中标资格，采购人有权终止合同并追究相应的法律责任和进行相应的赔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5.环境卫生作业项目管理人员资格证书</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 xml:space="preserve">投标人通过环卫行政主管部门或环境卫生行业协会培训，并获得相关环境卫生作业项目管理人员资格证书的数量进行评分：资格证书＜10本的不得分，10本≤资格证书＜15本的1分，15本≤资格证书≤20本的得2分，资格证书＞20本的得3分。 </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须同时提供：①提供资格证书，持证人员的证书单位与投标单位必须一致，②提供持证人员投标截止日期(不含当月)前六个月任意一个月的工资表或银行盖章的工资表，③投标截止时间前六个月（不含投标截止时间当月）任意一个月由投标人为其缴纳社保的证明材料，并加盖投标人单位公章。材料提供不齐全或者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6.项目保洁作业承包业绩</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投标人自2019年1月1日至本次投标截止日期止（以合同签订日期起始计算，含正在履约）自身有承担过公厕管养项目或或者承担的同类项目中包含公厕管养的，管理公厕数量达3</w:t>
            </w:r>
            <w:r>
              <w:rPr>
                <w:rFonts w:hint="eastAsia" w:ascii="宋体" w:hAnsi="宋体" w:eastAsia="宋体" w:cs="宋体"/>
                <w:color w:val="auto"/>
                <w:kern w:val="0"/>
                <w:sz w:val="24"/>
                <w:highlight w:val="none"/>
                <w:lang w:val="en-US" w:eastAsia="zh-CN" w:bidi="ar"/>
              </w:rPr>
              <w:t>5</w:t>
            </w:r>
            <w:r>
              <w:rPr>
                <w:rFonts w:hint="eastAsia" w:ascii="宋体" w:hAnsi="宋体" w:eastAsia="宋体" w:cs="宋体"/>
                <w:color w:val="auto"/>
                <w:kern w:val="0"/>
                <w:sz w:val="24"/>
                <w:highlight w:val="none"/>
                <w:lang w:bidi="ar"/>
              </w:rPr>
              <w:t>座得1分，达4</w:t>
            </w:r>
            <w:r>
              <w:rPr>
                <w:rFonts w:hint="eastAsia" w:ascii="宋体" w:hAnsi="宋体" w:eastAsia="宋体" w:cs="宋体"/>
                <w:color w:val="auto"/>
                <w:kern w:val="0"/>
                <w:sz w:val="24"/>
                <w:highlight w:val="none"/>
                <w:lang w:val="en-US" w:eastAsia="zh-CN" w:bidi="ar"/>
              </w:rPr>
              <w:t>5</w:t>
            </w:r>
            <w:r>
              <w:rPr>
                <w:rFonts w:hint="eastAsia" w:ascii="宋体" w:hAnsi="宋体" w:eastAsia="宋体" w:cs="宋体"/>
                <w:color w:val="auto"/>
                <w:kern w:val="0"/>
                <w:sz w:val="24"/>
                <w:highlight w:val="none"/>
                <w:lang w:bidi="ar"/>
              </w:rPr>
              <w:t>座得2分，达5</w:t>
            </w:r>
            <w:r>
              <w:rPr>
                <w:rFonts w:hint="eastAsia" w:ascii="宋体" w:hAnsi="宋体" w:eastAsia="宋体" w:cs="宋体"/>
                <w:color w:val="auto"/>
                <w:kern w:val="0"/>
                <w:sz w:val="24"/>
                <w:highlight w:val="none"/>
                <w:lang w:val="en-US" w:eastAsia="zh-CN" w:bidi="ar"/>
              </w:rPr>
              <w:t>5</w:t>
            </w:r>
            <w:r>
              <w:rPr>
                <w:rFonts w:hint="eastAsia" w:ascii="宋体" w:hAnsi="宋体" w:eastAsia="宋体" w:cs="宋体"/>
                <w:color w:val="auto"/>
                <w:kern w:val="0"/>
                <w:sz w:val="24"/>
                <w:highlight w:val="none"/>
                <w:lang w:bidi="ar"/>
              </w:rPr>
              <w:t>座得3分。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应如实提供有效业绩证明文件，有效业绩应同时提供：中标公告（政府采购相关网站中标公告的下载网页并注明网址）、中标通知书复印件、项目承包合同文本复印件、用户评价报告文本复印件，未同时提供上述证明材料并加盖投标人公章的，不得分（注：同一业绩不与“服务质量评价”项评分重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7.服务质量评价</w:t>
            </w:r>
          </w:p>
        </w:tc>
        <w:tc>
          <w:tcPr>
            <w:tcW w:w="675" w:type="dxa"/>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自2019年1月1日至本次投标截止日期止（以合同签订日期起始计算，含正在履约）承担的公厕保洁或转运站管养（含污水抽吸）或者承担的同类项目中包含公厕保洁或转运站管养（含污水抽吸）服务质量情况来打分，达到“优秀”或“满意”的，每提供一份证明材料得1分，满分3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注：投标人应如实提供合同文本复印件、用户反馈证明文件,未同时提供以上各项证明材料的，该项不给予计分。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8.企业荣誉（1）</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ascii="宋体" w:hAnsi="宋体" w:eastAsia="宋体" w:cs="宋体"/>
                <w:color w:val="auto"/>
                <w:kern w:val="0"/>
                <w:sz w:val="24"/>
                <w:highlight w:val="none"/>
                <w:lang w:bidi="ar"/>
              </w:rPr>
              <w:t>1</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投标人自2016年1月1日至本次投标截止日期，获得环境卫生行政主管部门颁发的优秀企业或先进企业荣誉称号的得</w:t>
            </w:r>
            <w:r>
              <w:rPr>
                <w:rFonts w:ascii="宋体" w:hAnsi="宋体" w:eastAsia="宋体" w:cs="宋体"/>
                <w:color w:val="auto"/>
                <w:kern w:val="0"/>
                <w:sz w:val="24"/>
                <w:highlight w:val="none"/>
                <w:lang w:bidi="ar"/>
              </w:rPr>
              <w:t>1</w:t>
            </w:r>
            <w:r>
              <w:rPr>
                <w:rFonts w:hint="eastAsia" w:ascii="宋体" w:hAnsi="宋体" w:eastAsia="宋体" w:cs="宋体"/>
                <w:color w:val="auto"/>
                <w:kern w:val="0"/>
                <w:sz w:val="24"/>
                <w:highlight w:val="none"/>
                <w:lang w:bidi="ar"/>
              </w:rPr>
              <w:t>分，须提供证书复印件，否则不得分。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9.员工荣誉（2）</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投标人自2016年1月1日至本次投标截止日期，员工获得劳模荣誉称号或五一劳动奖章荣誉称号的得1分。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注：投标人须同时提供：①获得的证书复印件，②投标截止时间前六个月（不含投标截止时间当月）任意一个月由投标人为其缴纳社保的证明材料，并加盖投标人单位公章。材料提供不齐全或者未提供的不得分。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10.水电工配备情况</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评标委员会根据投标人现有的水电工数情况进行打分：每提供</w:t>
            </w:r>
            <w:r>
              <w:rPr>
                <w:rFonts w:hint="eastAsia" w:ascii="宋体" w:hAnsi="宋体" w:eastAsia="宋体" w:cs="宋体"/>
                <w:color w:val="auto"/>
                <w:kern w:val="0"/>
                <w:sz w:val="24"/>
                <w:highlight w:val="none"/>
                <w:lang w:val="en-US" w:eastAsia="zh-CN" w:bidi="ar"/>
              </w:rPr>
              <w:t>1</w:t>
            </w:r>
            <w:r>
              <w:rPr>
                <w:rFonts w:hint="eastAsia" w:ascii="宋体" w:hAnsi="宋体" w:eastAsia="宋体" w:cs="宋体"/>
                <w:color w:val="auto"/>
                <w:kern w:val="0"/>
                <w:sz w:val="24"/>
                <w:highlight w:val="none"/>
                <w:lang w:bidi="ar"/>
              </w:rPr>
              <w:t>人得1分</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bidi="ar"/>
              </w:rPr>
              <w:t>满分</w:t>
            </w:r>
            <w:r>
              <w:rPr>
                <w:rFonts w:hint="eastAsia" w:ascii="宋体" w:hAnsi="宋体" w:eastAsia="宋体" w:cs="宋体"/>
                <w:color w:val="auto"/>
                <w:kern w:val="0"/>
                <w:sz w:val="24"/>
                <w:highlight w:val="none"/>
                <w:lang w:val="en-US" w:eastAsia="zh-CN" w:bidi="ar"/>
              </w:rPr>
              <w:t>3</w:t>
            </w:r>
            <w:r>
              <w:rPr>
                <w:rFonts w:hint="eastAsia" w:ascii="宋体" w:hAnsi="宋体" w:eastAsia="宋体" w:cs="宋体"/>
                <w:color w:val="auto"/>
                <w:kern w:val="0"/>
                <w:sz w:val="24"/>
                <w:highlight w:val="none"/>
                <w:lang w:bidi="ar"/>
              </w:rPr>
              <w:t>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注：投标人须提供相关技术证书复印件及投标截止时间前六个月（不含投标截止时间当月）任意一个月由投标人为其缴纳社保的证明材料，并加盖投标人单位公章。材料提供不齐全或者未提供的不得分。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11.投标文件制作</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bidi="ar"/>
              </w:rPr>
              <w:t>1</w:t>
            </w:r>
            <w:r>
              <w:rPr>
                <w:rFonts w:hint="eastAsia" w:ascii="宋体" w:hAnsi="宋体" w:eastAsia="宋体" w:cs="宋体"/>
                <w:color w:val="auto"/>
                <w:kern w:val="0"/>
                <w:sz w:val="24"/>
                <w:highlight w:val="none"/>
                <w:lang w:bidi="ar"/>
              </w:rPr>
              <w:t xml:space="preserve">                                                                                                                                                                                                                                           </w:t>
            </w:r>
          </w:p>
        </w:tc>
        <w:tc>
          <w:tcPr>
            <w:tcW w:w="6478" w:type="dxa"/>
            <w:shd w:val="clear" w:color="auto" w:fill="auto"/>
            <w:vAlign w:val="center"/>
          </w:tcPr>
          <w:p>
            <w:pPr>
              <w:widowControl/>
              <w:numPr>
                <w:ilvl w:val="255"/>
                <w:numId w:val="0"/>
              </w:numPr>
              <w:ind w:left="0" w:leftChars="0" w:firstLine="0" w:firstLineChars="0"/>
              <w:jc w:val="left"/>
              <w:rPr>
                <w:rFonts w:ascii="宋体" w:hAnsi="宋体" w:eastAsia="宋体" w:cs="宋体"/>
                <w:color w:val="auto"/>
                <w:kern w:val="0"/>
                <w:sz w:val="24"/>
                <w:highlight w:val="none"/>
                <w:lang w:bidi="ar"/>
              </w:rPr>
            </w:pPr>
            <w:r>
              <w:rPr>
                <w:rFonts w:hint="eastAsia" w:asciiTheme="minorEastAsia" w:hAnsiTheme="minorEastAsia" w:cstheme="minorEastAsia"/>
                <w:color w:val="auto"/>
                <w:kern w:val="0"/>
                <w:sz w:val="24"/>
                <w:szCs w:val="24"/>
                <w:lang w:val="en-US" w:eastAsia="zh-CN" w:bidi="ar"/>
              </w:rPr>
              <w:t>投标人</w:t>
            </w:r>
            <w:r>
              <w:rPr>
                <w:rFonts w:hint="eastAsia" w:ascii="宋体" w:hAnsi="宋体" w:eastAsia="宋体" w:cs="宋体"/>
                <w:color w:val="auto"/>
                <w:sz w:val="24"/>
                <w:szCs w:val="24"/>
              </w:rPr>
              <w:t>按照福建省政府采购网上公开信息系统设定的评审节点编制电子投标文件</w:t>
            </w:r>
            <w:r>
              <w:rPr>
                <w:rFonts w:hint="eastAsia" w:ascii="宋体" w:hAnsi="宋体" w:eastAsia="宋体" w:cs="宋体"/>
                <w:color w:val="auto"/>
                <w:sz w:val="24"/>
                <w:szCs w:val="24"/>
                <w:lang w:val="en-US" w:eastAsia="zh-CN"/>
              </w:rPr>
              <w:t>的基础上，电子</w:t>
            </w:r>
            <w:r>
              <w:rPr>
                <w:rFonts w:hint="eastAsia" w:asciiTheme="minorEastAsia" w:hAnsiTheme="minorEastAsia" w:cstheme="minorEastAsia"/>
                <w:color w:val="auto"/>
                <w:kern w:val="0"/>
                <w:sz w:val="24"/>
                <w:szCs w:val="24"/>
                <w:lang w:val="en-US" w:eastAsia="zh-CN" w:bidi="ar"/>
              </w:rPr>
              <w:t>投标文件有目录索引、有点对点应答的</w:t>
            </w:r>
            <w:r>
              <w:rPr>
                <w:rFonts w:hint="eastAsia" w:asciiTheme="minorEastAsia" w:hAnsiTheme="minorEastAsia" w:cstheme="minorEastAsia"/>
                <w:color w:val="auto"/>
                <w:kern w:val="0"/>
                <w:sz w:val="24"/>
                <w:szCs w:val="24"/>
                <w:lang w:bidi="ar"/>
              </w:rPr>
              <w:t>得1分，</w:t>
            </w:r>
            <w:r>
              <w:rPr>
                <w:rFonts w:hint="eastAsia" w:asciiTheme="minorEastAsia" w:hAnsiTheme="minorEastAsia" w:cstheme="minorEastAsia"/>
                <w:color w:val="auto"/>
                <w:kern w:val="0"/>
                <w:sz w:val="24"/>
                <w:szCs w:val="24"/>
                <w:lang w:val="en-US" w:eastAsia="zh-CN" w:bidi="ar"/>
              </w:rPr>
              <w:t>否则</w:t>
            </w:r>
            <w:r>
              <w:rPr>
                <w:rFonts w:hint="eastAsia" w:asciiTheme="minorEastAsia" w:hAnsiTheme="minorEastAsia" w:cstheme="minorEastAsia"/>
                <w:color w:val="auto"/>
                <w:kern w:val="0"/>
                <w:sz w:val="24"/>
                <w:szCs w:val="24"/>
                <w:lang w:bidi="ar"/>
              </w:rPr>
              <w:t>不得分。</w:t>
            </w:r>
          </w:p>
        </w:tc>
      </w:tr>
    </w:tbl>
    <w:p>
      <w:pPr>
        <w:pStyle w:val="14"/>
        <w:widowControl/>
        <w:spacing w:beforeAutospacing="0" w:after="150" w:afterAutospacing="0"/>
        <w:ind w:firstLine="480"/>
        <w:rPr>
          <w:rFonts w:ascii="宋体" w:hAnsi="宋体" w:eastAsia="宋体" w:cs="宋体"/>
          <w:color w:val="auto"/>
          <w:highlight w:val="none"/>
        </w:rPr>
      </w:pP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④加分项（F4×A4）</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a.优先类节能产品、环境标志产品：</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a2若节能、环境标志产品仅是构成投标产品的部件、组件或零件，则该投标产品不享受鼓励优惠政策。同一品目中各认证证书不重复计算加分。强制类节能产品不享受加分。</w:t>
      </w:r>
    </w:p>
    <w:p>
      <w:pPr>
        <w:pStyle w:val="14"/>
        <w:widowControl/>
        <w:spacing w:beforeAutospacing="0" w:after="150" w:afterAutospacing="0"/>
        <w:ind w:firstLine="480"/>
        <w:rPr>
          <w:rFonts w:ascii="宋体" w:hAnsi="宋体" w:eastAsia="宋体" w:cs="宋体"/>
          <w:color w:val="auto"/>
          <w:highlight w:val="none"/>
        </w:rPr>
      </w:pPr>
    </w:p>
    <w:p>
      <w:pPr>
        <w:pStyle w:val="14"/>
        <w:widowControl/>
        <w:spacing w:beforeAutospacing="0" w:after="150"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 xml:space="preserve">   无</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（4）中标候选人排列规则顺序如下：</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a.按照评标总得分（FA）由高到低顺序排列。</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b.评标总得分（FA）相同的，按照评标价（即价格扣除后的投标报价）由低到高顺序排列。</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c.评标总得分（FA）且评标价（即价格扣除后的投标报价）相同的并列。</w:t>
      </w:r>
    </w:p>
    <w:p>
      <w:pPr>
        <w:pStyle w:val="14"/>
        <w:widowControl/>
        <w:spacing w:beforeAutospacing="0" w:after="150" w:afterAutospacing="0"/>
        <w:ind w:firstLine="480"/>
        <w:rPr>
          <w:rFonts w:ascii="宋体" w:hAnsi="宋体" w:eastAsia="宋体" w:cs="宋体"/>
          <w:color w:val="auto"/>
          <w:highlight w:val="none"/>
        </w:rPr>
      </w:pPr>
    </w:p>
    <w:p>
      <w:pPr>
        <w:pStyle w:val="14"/>
        <w:widowControl/>
        <w:shd w:val="clear" w:color="auto" w:fill="FFFFFF"/>
        <w:spacing w:beforeAutospacing="0" w:after="150" w:afterAutospacing="0"/>
        <w:rPr>
          <w:rFonts w:ascii="宋体" w:hAnsi="宋体" w:eastAsia="宋体" w:cs="宋体"/>
          <w:color w:val="auto"/>
          <w:sz w:val="19"/>
          <w:szCs w:val="19"/>
          <w:highlight w:val="none"/>
        </w:rPr>
      </w:pPr>
      <w:r>
        <w:rPr>
          <w:rStyle w:val="20"/>
          <w:rFonts w:hint="eastAsia" w:ascii="宋体" w:hAnsi="宋体" w:eastAsia="宋体" w:cs="宋体"/>
          <w:color w:val="auto"/>
          <w:highlight w:val="none"/>
          <w:shd w:val="clear" w:color="auto" w:fill="FFFFFF"/>
        </w:rPr>
        <w:t>合同包2采用综合评分法</w:t>
      </w:r>
      <w:r>
        <w:rPr>
          <w:rFonts w:hint="eastAsia" w:ascii="宋体" w:hAnsi="宋体" w:eastAsia="宋体" w:cs="宋体"/>
          <w:color w:val="auto"/>
          <w:highlight w:val="none"/>
          <w:shd w:val="clear" w:color="auto" w:fill="FFFFFF"/>
        </w:rPr>
        <w:t>：</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（1）投标文件满足招标文件全部实质性要求，且按照评审因素的量化指标评审得分（即评标总得分）最高的投标人为中标候选人。</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（3）各项评审因素的设置如下：</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①价格项（F1×A1）满分为</w:t>
      </w:r>
      <w:r>
        <w:rPr>
          <w:rFonts w:hint="eastAsia" w:ascii="宋体" w:hAnsi="宋体" w:eastAsia="宋体" w:cs="宋体"/>
          <w:color w:val="auto"/>
          <w:highlight w:val="none"/>
          <w:u w:val="single"/>
        </w:rPr>
        <w:t xml:space="preserve"> 30 </w:t>
      </w:r>
      <w:r>
        <w:rPr>
          <w:rFonts w:hint="eastAsia" w:ascii="宋体" w:hAnsi="宋体" w:eastAsia="宋体" w:cs="宋体"/>
          <w:color w:val="auto"/>
          <w:highlight w:val="none"/>
        </w:rPr>
        <w:t>分。</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b.价格扣除的规则如下：</w:t>
      </w:r>
    </w:p>
    <w:tbl>
      <w:tblPr>
        <w:tblStyle w:val="18"/>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13"/>
        <w:gridCol w:w="69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31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评标项目</w:t>
            </w:r>
          </w:p>
        </w:tc>
        <w:tc>
          <w:tcPr>
            <w:tcW w:w="6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31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t>小型、微型企业，监狱企业，残疾人</w:t>
            </w:r>
          </w:p>
        </w:tc>
        <w:tc>
          <w:tcPr>
            <w:tcW w:w="6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Cs/>
                <w:color w:val="auto"/>
                <w:highlight w:val="none"/>
              </w:rPr>
            </w:pPr>
            <w:r>
              <w:rPr>
                <w:rStyle w:val="20"/>
                <w:rFonts w:ascii="宋体" w:hAnsi="宋体" w:eastAsia="宋体" w:cs="宋体"/>
                <w:b w:val="0"/>
                <w:bCs/>
                <w:color w:val="auto"/>
                <w:sz w:val="24"/>
                <w:highlight w:val="none"/>
              </w:rPr>
              <w:t>①</w:t>
            </w:r>
            <w:r>
              <w:rPr>
                <w:rStyle w:val="20"/>
                <w:rFonts w:hint="eastAsia" w:ascii="宋体" w:hAnsi="宋体" w:eastAsia="宋体" w:cs="宋体"/>
                <w:b w:val="0"/>
                <w:bCs/>
                <w:color w:val="auto"/>
                <w:sz w:val="24"/>
                <w:highlight w:val="none"/>
              </w:rPr>
              <w:t>本合同包不属于专门面向中小企业预留份额的招标项目，因此根据《政府采购促进中小企业发展暂行办法》财库〔2020〕46号文的规定，符合以下规则条件的投标人将依法享受相应的价格扣除优惠政策，用扣除后的价格参加评审。服务采购项目中，服务由中小企业主体承接的，才能享受相应扶持政策。本合同包投标人自身承接全部服务内容，且投标人符合政府采购相关法规要求的小微企业划分标准，将依法享受价格扣除的优惠政策，对其报价给予10%的价格扣除，用扣除后的价格参加评审。投标人必须在投标文件中按照招标文件第七章所附格式如实填写《中小企业声明函》，投标人应当对其承诺和提供材料的真实性、合法性和准确性负责。未按招标文件要求提供《中小企业声明函》，视同为投标人不满足小微企业条件和标准，不享受价格扣除的优惠政策。②根据财政部、司法部联合印发《关于政府采购支持监狱企业发展有关问题的通知》（财库[2014]68号）文以及财政部、民政部、中国残联联合发布关于促进残疾人就业政府采购政策的通知（财库[2017]141号）文的有关规定，监狱企业和残疾人福利性单位视同为小型、微型企业。监狱企业或残疾人福利性单位参加本合同包投标且全部服务内容均由其自身承接的，将依法享受价格扣除的优惠政策，对其报价给予10%的价格扣除，用扣除后的价格参加评审。但监狱企业必须提供由省级以上监狱管理局、戒毒管理局（含新疆生产建设兵团）出具的属于监狱企业的证明文件，否则评审时不享受价格扣除的优惠政策；残疾人福利性单位必须如实提供《残疾人福利性单位声明函》，否则评审时不享受价格扣除的优惠政策。③上述规定与政府采购相关法律、法规、制度等有冲突的，以现行法律、法规、制度等执行。</w:t>
            </w:r>
          </w:p>
        </w:tc>
      </w:tr>
    </w:tbl>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②技术项（F2×A2）满分为</w:t>
      </w:r>
      <w:r>
        <w:rPr>
          <w:rFonts w:hint="eastAsia" w:ascii="宋体" w:hAnsi="宋体" w:eastAsia="宋体" w:cs="宋体"/>
          <w:color w:val="auto"/>
          <w:highlight w:val="none"/>
          <w:u w:val="single"/>
        </w:rPr>
        <w:t>45</w:t>
      </w:r>
      <w:r>
        <w:rPr>
          <w:rFonts w:hint="eastAsia" w:ascii="宋体" w:hAnsi="宋体" w:eastAsia="宋体" w:cs="宋体"/>
          <w:color w:val="auto"/>
          <w:highlight w:val="none"/>
        </w:rPr>
        <w:t>分。</w:t>
      </w:r>
    </w:p>
    <w:tbl>
      <w:tblPr>
        <w:tblStyle w:val="18"/>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43"/>
        <w:gridCol w:w="700"/>
        <w:gridCol w:w="64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143"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评标项目</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评标分值</w:t>
            </w:r>
          </w:p>
        </w:tc>
        <w:tc>
          <w:tcPr>
            <w:tcW w:w="6478"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r>
              <w:rPr>
                <w:rFonts w:hint="eastAsia" w:ascii="宋体" w:hAnsi="宋体" w:eastAsia="宋体" w:cs="宋体"/>
                <w:color w:val="auto"/>
                <w:sz w:val="24"/>
                <w:highlight w:val="none"/>
              </w:rPr>
              <w:t>管理工作计划及组织实施方案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投标人提供</w:t>
            </w:r>
            <w:r>
              <w:rPr>
                <w:rFonts w:hint="eastAsia" w:ascii="宋体" w:hAnsi="宋体" w:eastAsia="宋体" w:cs="宋体"/>
                <w:color w:val="auto"/>
                <w:sz w:val="24"/>
                <w:highlight w:val="none"/>
              </w:rPr>
              <w:t>公厕、转运收集站点管理工作计划及组织实施方案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51" w:hRule="atLeast"/>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2.工作质量目标、实施措施</w:t>
            </w:r>
            <w:r>
              <w:rPr>
                <w:rFonts w:hint="eastAsia" w:ascii="宋体" w:hAnsi="宋体" w:eastAsia="宋体" w:cs="宋体"/>
                <w:color w:val="auto"/>
                <w:sz w:val="24"/>
                <w:highlight w:val="none"/>
              </w:rPr>
              <w:t>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投标人提供公厕、转运收集站点管理工作质量目标、实施措施</w:t>
            </w:r>
            <w:r>
              <w:rPr>
                <w:rFonts w:hint="eastAsia" w:ascii="宋体" w:hAnsi="宋体" w:eastAsia="宋体" w:cs="宋体"/>
                <w:color w:val="auto"/>
                <w:sz w:val="24"/>
                <w:highlight w:val="none"/>
              </w:rPr>
              <w:t>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3.工作任务安排方案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投标人提供日常及重大活动、节假日公厕、转运收集站点管理工作任务安排方案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4.过渡交接计划安排与组织实施方案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投标人提供过渡交接计划安排与组织实施方案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5.车辆安排及作业方案</w:t>
            </w:r>
          </w:p>
        </w:tc>
        <w:tc>
          <w:tcPr>
            <w:tcW w:w="700" w:type="dxa"/>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投标人提供公厕清渣及转运收集站点污水抽吸车辆安排及作业方案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6.安排人员及班次情况</w:t>
            </w:r>
            <w:r>
              <w:rPr>
                <w:rFonts w:hint="eastAsia" w:ascii="宋体" w:hAnsi="宋体" w:eastAsia="宋体" w:cs="宋体"/>
                <w:color w:val="auto"/>
                <w:kern w:val="0"/>
                <w:sz w:val="24"/>
                <w:highlight w:val="none"/>
                <w:lang w:val="en-US" w:eastAsia="zh-CN" w:bidi="ar"/>
              </w:rPr>
              <w:t>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投标人提供对合同包拟安排人员及班次情况</w:t>
            </w:r>
            <w:r>
              <w:rPr>
                <w:rFonts w:hint="eastAsia" w:ascii="宋体" w:hAnsi="宋体" w:eastAsia="宋体" w:cs="宋体"/>
                <w:color w:val="auto"/>
                <w:kern w:val="0"/>
                <w:sz w:val="24"/>
                <w:highlight w:val="none"/>
                <w:lang w:val="en-US" w:eastAsia="zh-CN" w:bidi="ar"/>
              </w:rPr>
              <w:t>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r>
              <w:rPr>
                <w:rFonts w:ascii="宋体" w:hAnsi="宋体" w:eastAsia="宋体" w:cs="宋体"/>
                <w:color w:val="auto"/>
                <w:kern w:val="0"/>
                <w:sz w:val="24"/>
                <w:highlight w:val="none"/>
                <w:lang w:bidi="ar"/>
              </w:rPr>
              <w:t>项目负责人(项目经理)的工作经验</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拟担任本项目负责人(项目经理)的学历、工作经验等情况。投标人拟派驻的项目负责人(项目经理)具有本科及以上学历证书，并具有3年以上工作经验；具有环境卫生作业项目管理人员资格证书；具有垃圾处理工程师证书。每提供1项得1分。满分得3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必须提供身份证复印件及投标截止时间前六个月（不含投标截止时间当月）任意一个月由投标人为其缴纳社保的证明材料，并加盖投标人单位公章，并提供以下证明材料：①学历证书复印件及中国高等教育学生信息网（学信网）查询结果截图、工作经验证明承诺函；②环境卫生作业项目管理人员资格证书复印件；③垃圾处理工程师证书复印件。每提供1项得1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8.人员培训计划及档案管理</w:t>
            </w:r>
            <w:r>
              <w:rPr>
                <w:rFonts w:hint="eastAsia" w:ascii="宋体" w:hAnsi="宋体" w:eastAsia="宋体" w:cs="宋体"/>
                <w:color w:val="auto"/>
                <w:kern w:val="0"/>
                <w:sz w:val="24"/>
                <w:highlight w:val="none"/>
                <w:lang w:val="en-US" w:eastAsia="zh-CN" w:bidi="ar"/>
              </w:rPr>
              <w:t>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投标提供人员培训计划及档案管理</w:t>
            </w:r>
            <w:r>
              <w:rPr>
                <w:rFonts w:hint="eastAsia" w:ascii="宋体" w:hAnsi="宋体" w:eastAsia="宋体" w:cs="宋体"/>
                <w:color w:val="auto"/>
                <w:kern w:val="0"/>
                <w:sz w:val="24"/>
                <w:highlight w:val="none"/>
                <w:lang w:val="en-US" w:eastAsia="zh-CN" w:bidi="ar"/>
              </w:rPr>
              <w:t>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9.管理规章制度方案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w:t>
            </w:r>
            <w:r>
              <w:rPr>
                <w:rFonts w:hint="eastAsia" w:ascii="宋体" w:hAnsi="宋体" w:eastAsia="宋体" w:cs="宋体"/>
                <w:color w:val="auto"/>
                <w:kern w:val="0"/>
                <w:sz w:val="24"/>
                <w:highlight w:val="none"/>
                <w:lang w:val="en-US" w:eastAsia="zh-CN" w:bidi="ar"/>
              </w:rPr>
              <w:t>提供</w:t>
            </w:r>
            <w:r>
              <w:rPr>
                <w:rFonts w:hint="eastAsia" w:ascii="宋体" w:hAnsi="宋体" w:eastAsia="宋体" w:cs="宋体"/>
                <w:color w:val="auto"/>
                <w:kern w:val="0"/>
                <w:sz w:val="24"/>
                <w:highlight w:val="none"/>
                <w:lang w:bidi="ar"/>
              </w:rPr>
              <w:t>制定的管理规章制度</w:t>
            </w:r>
            <w:r>
              <w:rPr>
                <w:rFonts w:hint="eastAsia" w:ascii="宋体" w:hAnsi="宋体" w:eastAsia="宋体" w:cs="宋体"/>
                <w:color w:val="auto"/>
                <w:kern w:val="0"/>
                <w:sz w:val="24"/>
                <w:highlight w:val="none"/>
                <w:lang w:val="en-US" w:eastAsia="zh-CN" w:bidi="ar"/>
              </w:rPr>
              <w:t>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10.劳保用品配置方案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投标人</w:t>
            </w:r>
            <w:r>
              <w:rPr>
                <w:rFonts w:hint="eastAsia" w:ascii="宋体" w:hAnsi="宋体" w:eastAsia="宋体" w:cs="宋体"/>
                <w:color w:val="auto"/>
                <w:kern w:val="0"/>
                <w:sz w:val="24"/>
                <w:highlight w:val="none"/>
                <w:lang w:val="en-US" w:eastAsia="zh-CN" w:bidi="ar"/>
              </w:rPr>
              <w:t>提供</w:t>
            </w:r>
            <w:r>
              <w:rPr>
                <w:rFonts w:hint="eastAsia" w:ascii="宋体" w:hAnsi="宋体" w:eastAsia="宋体" w:cs="宋体"/>
                <w:color w:val="auto"/>
                <w:kern w:val="0"/>
                <w:sz w:val="24"/>
                <w:highlight w:val="none"/>
                <w:lang w:bidi="ar"/>
              </w:rPr>
              <w:t>制定的劳保用品配置方案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11.安全保证措施方案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w:t>
            </w:r>
            <w:r>
              <w:rPr>
                <w:rFonts w:hint="eastAsia" w:ascii="宋体" w:hAnsi="宋体" w:eastAsia="宋体" w:cs="宋体"/>
                <w:color w:val="auto"/>
                <w:kern w:val="0"/>
                <w:sz w:val="24"/>
                <w:highlight w:val="none"/>
                <w:lang w:val="en-US" w:eastAsia="zh-CN" w:bidi="ar"/>
              </w:rPr>
              <w:t>提供</w:t>
            </w:r>
            <w:r>
              <w:rPr>
                <w:rFonts w:hint="eastAsia" w:ascii="宋体" w:hAnsi="宋体" w:eastAsia="宋体" w:cs="宋体"/>
                <w:color w:val="auto"/>
                <w:kern w:val="0"/>
                <w:sz w:val="24"/>
                <w:highlight w:val="none"/>
                <w:lang w:bidi="ar"/>
              </w:rPr>
              <w:t>制定的安全保证措施（如垃圾运输安全作业措施、安全事故应急处理预案、工人劳动安全保障等)方案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12.作业培训、生产安全、文明服务方案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w:t>
            </w:r>
            <w:r>
              <w:rPr>
                <w:rFonts w:hint="eastAsia" w:ascii="宋体" w:hAnsi="宋体" w:eastAsia="宋体" w:cs="宋体"/>
                <w:color w:val="auto"/>
                <w:kern w:val="0"/>
                <w:sz w:val="24"/>
                <w:highlight w:val="none"/>
                <w:lang w:val="en-US" w:eastAsia="zh-CN" w:bidi="ar"/>
              </w:rPr>
              <w:t>提供</w:t>
            </w:r>
            <w:r>
              <w:rPr>
                <w:rFonts w:hint="eastAsia" w:ascii="宋体" w:hAnsi="宋体" w:eastAsia="宋体" w:cs="宋体"/>
                <w:color w:val="auto"/>
                <w:kern w:val="0"/>
                <w:sz w:val="24"/>
                <w:highlight w:val="none"/>
                <w:lang w:bidi="ar"/>
              </w:rPr>
              <w:t>对企业及本项目组织开展的作业培训、生产安全、文明服务等具体实施方案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13.应急预案</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投标人提供针对重大活动、不可抗力的自然灾害及突发事件(如紧急报修、发生治安事件、台风、暴雨、火灾等)应急预案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宋体" w:hAnsi="宋体" w:eastAsia="宋体" w:cs="宋体"/>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21" w:hRule="atLeast"/>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14.实施方案与作业方案、经费测算等情况</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投标人提供实施方案与作业方案一致性、经费测算相互吻合情况分析方案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3" w:type="dxa"/>
            <w:shd w:val="clear" w:color="auto" w:fill="auto"/>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15.财务成本风险控制情况</w:t>
            </w:r>
          </w:p>
        </w:tc>
        <w:tc>
          <w:tcPr>
            <w:tcW w:w="700"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投标人提供财务成本风险控制情况分析方案（须提供详细的测算依据及说明，供应商提供的财务成本风险控制测算依据符合劳动法及国家和省、市颁布的工人福利待遇标准）</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bl>
    <w:p>
      <w:pPr>
        <w:pStyle w:val="14"/>
        <w:widowControl/>
        <w:spacing w:beforeAutospacing="0" w:after="150" w:afterAutospacing="0"/>
        <w:ind w:firstLine="480"/>
        <w:rPr>
          <w:rFonts w:ascii="宋体" w:hAnsi="宋体" w:eastAsia="宋体" w:cs="宋体"/>
          <w:color w:val="auto"/>
          <w:highlight w:val="none"/>
        </w:rPr>
      </w:pP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③商务项（F3×A3）满分为</w:t>
      </w:r>
      <w:r>
        <w:rPr>
          <w:rFonts w:hint="eastAsia" w:ascii="宋体" w:hAnsi="宋体" w:eastAsia="宋体" w:cs="宋体"/>
          <w:color w:val="auto"/>
          <w:highlight w:val="none"/>
          <w:u w:val="single"/>
        </w:rPr>
        <w:t>25</w:t>
      </w:r>
      <w:r>
        <w:rPr>
          <w:rFonts w:hint="eastAsia" w:ascii="宋体" w:hAnsi="宋体" w:eastAsia="宋体" w:cs="宋体"/>
          <w:color w:val="auto"/>
          <w:highlight w:val="none"/>
        </w:rPr>
        <w:t>分。</w:t>
      </w:r>
    </w:p>
    <w:tbl>
      <w:tblPr>
        <w:tblStyle w:val="18"/>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68"/>
        <w:gridCol w:w="675"/>
        <w:gridCol w:w="64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168"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评标项目</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评标分值</w:t>
            </w:r>
          </w:p>
        </w:tc>
        <w:tc>
          <w:tcPr>
            <w:tcW w:w="6478"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1.综合实力（1）</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投标人获得环境卫生行业评定的环境卫生作业资信等级证书甲级或一级的得1分；满分1分。需提供信用等级证书复印件并加盖公章，否则不得分。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2.自有产权作业车辆种类情况</w:t>
            </w:r>
          </w:p>
        </w:tc>
        <w:tc>
          <w:tcPr>
            <w:tcW w:w="675" w:type="dxa"/>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根据投标人</w:t>
            </w:r>
            <w:r>
              <w:rPr>
                <w:rFonts w:hint="eastAsia" w:asciiTheme="minorEastAsia" w:hAnsiTheme="minorEastAsia" w:cstheme="minorEastAsia"/>
                <w:color w:val="auto"/>
                <w:kern w:val="0"/>
                <w:sz w:val="24"/>
                <w:highlight w:val="none"/>
                <w:lang w:val="en-US" w:eastAsia="zh-CN" w:bidi="ar"/>
              </w:rPr>
              <w:t>在满足招标文件</w:t>
            </w:r>
            <w:r>
              <w:rPr>
                <w:rFonts w:hint="eastAsia" w:asciiTheme="minorEastAsia" w:hAnsiTheme="minorEastAsia" w:cstheme="minorEastAsia"/>
                <w:color w:val="auto"/>
                <w:kern w:val="0"/>
                <w:sz w:val="24"/>
                <w:highlight w:val="none"/>
                <w:lang w:bidi="ar"/>
              </w:rPr>
              <w:t>现有服务范围内的最低车辆配备要求</w:t>
            </w:r>
            <w:r>
              <w:rPr>
                <w:rFonts w:hint="eastAsia" w:asciiTheme="minorEastAsia" w:hAnsiTheme="minorEastAsia" w:cstheme="minorEastAsia"/>
                <w:color w:val="auto"/>
                <w:kern w:val="0"/>
                <w:sz w:val="24"/>
                <w:highlight w:val="none"/>
                <w:lang w:val="en-US" w:eastAsia="zh-CN" w:bidi="ar"/>
              </w:rPr>
              <w:t>的基础上，</w:t>
            </w:r>
            <w:r>
              <w:rPr>
                <w:rFonts w:hint="eastAsia" w:ascii="宋体" w:hAnsi="宋体" w:eastAsia="宋体" w:cs="宋体"/>
                <w:color w:val="auto"/>
                <w:kern w:val="0"/>
                <w:sz w:val="24"/>
                <w:highlight w:val="none"/>
                <w:lang w:bidi="ar"/>
              </w:rPr>
              <w:t>提供的自2018年1月1日(含)以后购置的自有产权总质量5吨(含)以上专业抽粪清渣车情况，</w:t>
            </w:r>
            <w:r>
              <w:rPr>
                <w:rFonts w:hint="eastAsia" w:asciiTheme="minorEastAsia" w:hAnsiTheme="minorEastAsia" w:cstheme="minorEastAsia"/>
                <w:color w:val="auto"/>
                <w:kern w:val="0"/>
                <w:sz w:val="24"/>
                <w:highlight w:val="none"/>
                <w:lang w:bidi="ar"/>
              </w:rPr>
              <w:t>每</w:t>
            </w:r>
            <w:r>
              <w:rPr>
                <w:rFonts w:hint="eastAsia" w:asciiTheme="minorEastAsia" w:hAnsiTheme="minorEastAsia" w:cstheme="minorEastAsia"/>
                <w:color w:val="auto"/>
                <w:kern w:val="0"/>
                <w:sz w:val="24"/>
                <w:highlight w:val="none"/>
                <w:lang w:val="en-US" w:eastAsia="zh-CN" w:bidi="ar"/>
              </w:rPr>
              <w:t>增加</w:t>
            </w:r>
            <w:r>
              <w:rPr>
                <w:rFonts w:hint="eastAsia" w:asciiTheme="minorEastAsia" w:hAnsiTheme="minorEastAsia" w:cstheme="minorEastAsia"/>
                <w:color w:val="auto"/>
                <w:kern w:val="0"/>
                <w:sz w:val="24"/>
                <w:highlight w:val="none"/>
                <w:lang w:bidi="ar"/>
              </w:rPr>
              <w:t>一辆</w:t>
            </w:r>
            <w:r>
              <w:rPr>
                <w:rFonts w:hint="eastAsia" w:asciiTheme="minorEastAsia" w:hAnsiTheme="minorEastAsia" w:cstheme="minorEastAsia"/>
                <w:color w:val="auto"/>
                <w:kern w:val="0"/>
                <w:sz w:val="24"/>
                <w:highlight w:val="none"/>
                <w:lang w:val="en-US" w:eastAsia="zh-CN" w:bidi="ar"/>
              </w:rPr>
              <w:t>的</w:t>
            </w:r>
            <w:r>
              <w:rPr>
                <w:rFonts w:hint="eastAsia" w:ascii="宋体" w:hAnsi="宋体" w:eastAsia="宋体" w:cs="宋体"/>
                <w:color w:val="auto"/>
                <w:kern w:val="0"/>
                <w:sz w:val="24"/>
                <w:highlight w:val="none"/>
                <w:lang w:bidi="ar"/>
              </w:rPr>
              <w:t>得1分，满分3分。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注：投标人须提供有效的行驶证复印件、购置发票复印件和产权证明复印件(即《机动车登记证书》)，并加盖投标人单位公章。材料提供不齐全或者未提供的不得分。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3.管理体系认证</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投标人通过质量管理体系认证并在认证有效期限内的得1分。（2）投标人通过环境管理体系认证并在认证有效期限内的得1分。（3）投标人通过职业健康安全管理体系认证并在认证有效期限内得1分。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注：投标人应在投标文件中附上相关有效认证证书复印件及</w:t>
            </w:r>
            <w:r>
              <w:rPr>
                <w:color w:val="auto"/>
                <w:highlight w:val="none"/>
              </w:rPr>
              <w:fldChar w:fldCharType="begin"/>
            </w:r>
            <w:r>
              <w:rPr>
                <w:color w:val="auto"/>
                <w:highlight w:val="none"/>
              </w:rPr>
              <w:instrText xml:space="preserve"> HYPERLINK "http://www.so.com/link?m=aZXc8GeoCz5rk30f1F73FwwRe9gLZEUrsC3aIkdbd38dKrZ/49R1cWBacd6fvuZj8zcQC1qtOKqdq5s1csCiXNnbYASXRUEkZ9dPp/6v/LmY=" \t "https://www.so.com/_blank" </w:instrText>
            </w:r>
            <w:r>
              <w:rPr>
                <w:color w:val="auto"/>
                <w:highlight w:val="none"/>
              </w:rPr>
              <w:fldChar w:fldCharType="separate"/>
            </w:r>
            <w:r>
              <w:rPr>
                <w:rFonts w:hint="eastAsia" w:ascii="宋体" w:hAnsi="宋体" w:eastAsia="宋体" w:cs="宋体"/>
                <w:color w:val="auto"/>
                <w:kern w:val="0"/>
                <w:sz w:val="24"/>
                <w:highlight w:val="none"/>
                <w:lang w:bidi="ar"/>
              </w:rPr>
              <w:t>中国国家认证认可监督管理委员会</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或中国合格评定国家认可委员会统一查询截图，并加盖投标人单位公章。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4.人身意外保险情况</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根据投标人2019年1月1日至本次投标截止日期为公司环卫工人购买的有效期内的人身意外保险情况(包括个人意外险或雇主责任险)进行评审，①环卫工人死亡伤残赔付限额少于60万元的不得分，赔付限额多于60万元(含60万元)的得1分；②若投标人承诺在中标后为投入本项目的所有作业人员购买赔付限额多于60万元(含60万元)的的人身意外保险(包括个人意外险或雇主责任险)的得2分。本项满分3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①投标人须同时提供保险单据复印件及保险承保明细表，并加盖投标人公章；②提供承诺函（格式自拟），并加盖公章。材料提供不齐全或者未提供的不得分。若发现投标人提供虚假材料的，中标企业取消中标资格，采购人有权终止合同并追究相应的法律责任和进行相应的赔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5.环境卫生作业项目管理人员资格证书</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 xml:space="preserve">投标人通过环卫行政主管部门或环境卫生行业协会培训，并获得相关环境卫生作业项目管理人员资格证书的数量进行评分：资格证书＜10本的不得分，10本≤资格证书＜15本的1分，15本≤资格证书≤20本的得2分，资格证书＞20本的得3分。 </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须同时提供：①提供资格证书，持证人员的证书单位与投标单位必须一致，②提供持证人员投标截止日期(不含当月)前六个月任意一个月的工资表或银行盖章的工资表，③投标截止时间前六个月（不含投标截止时间当月）任意一个月由投标人为其缴纳社保的证明材料，并加盖投标人单位公章。材料提供不齐全或者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6.项目保洁作业承包业绩</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投标人自2019年1月1日至本次投标截止日期止（以合同签订日期起始计算，含正在履约）自身有承担过公厕管养项目或或者承担的同类项目中包含公厕管养的，管理公厕数量达3</w:t>
            </w:r>
            <w:r>
              <w:rPr>
                <w:rFonts w:hint="eastAsia" w:ascii="宋体" w:hAnsi="宋体" w:eastAsia="宋体" w:cs="宋体"/>
                <w:color w:val="auto"/>
                <w:kern w:val="0"/>
                <w:sz w:val="24"/>
                <w:highlight w:val="none"/>
                <w:lang w:val="en-US" w:eastAsia="zh-CN" w:bidi="ar"/>
              </w:rPr>
              <w:t>5</w:t>
            </w:r>
            <w:r>
              <w:rPr>
                <w:rFonts w:hint="eastAsia" w:ascii="宋体" w:hAnsi="宋体" w:eastAsia="宋体" w:cs="宋体"/>
                <w:color w:val="auto"/>
                <w:kern w:val="0"/>
                <w:sz w:val="24"/>
                <w:highlight w:val="none"/>
                <w:lang w:bidi="ar"/>
              </w:rPr>
              <w:t>座得1分，达4</w:t>
            </w:r>
            <w:r>
              <w:rPr>
                <w:rFonts w:hint="eastAsia" w:ascii="宋体" w:hAnsi="宋体" w:eastAsia="宋体" w:cs="宋体"/>
                <w:color w:val="auto"/>
                <w:kern w:val="0"/>
                <w:sz w:val="24"/>
                <w:highlight w:val="none"/>
                <w:lang w:val="en-US" w:eastAsia="zh-CN" w:bidi="ar"/>
              </w:rPr>
              <w:t>5</w:t>
            </w:r>
            <w:r>
              <w:rPr>
                <w:rFonts w:hint="eastAsia" w:ascii="宋体" w:hAnsi="宋体" w:eastAsia="宋体" w:cs="宋体"/>
                <w:color w:val="auto"/>
                <w:kern w:val="0"/>
                <w:sz w:val="24"/>
                <w:highlight w:val="none"/>
                <w:lang w:bidi="ar"/>
              </w:rPr>
              <w:t>座得2分，达5</w:t>
            </w:r>
            <w:r>
              <w:rPr>
                <w:rFonts w:hint="eastAsia" w:ascii="宋体" w:hAnsi="宋体" w:eastAsia="宋体" w:cs="宋体"/>
                <w:color w:val="auto"/>
                <w:kern w:val="0"/>
                <w:sz w:val="24"/>
                <w:highlight w:val="none"/>
                <w:lang w:val="en-US" w:eastAsia="zh-CN" w:bidi="ar"/>
              </w:rPr>
              <w:t>5</w:t>
            </w:r>
            <w:r>
              <w:rPr>
                <w:rFonts w:hint="eastAsia" w:ascii="宋体" w:hAnsi="宋体" w:eastAsia="宋体" w:cs="宋体"/>
                <w:color w:val="auto"/>
                <w:kern w:val="0"/>
                <w:sz w:val="24"/>
                <w:highlight w:val="none"/>
                <w:lang w:bidi="ar"/>
              </w:rPr>
              <w:t>座得3分。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应如实提供有效业绩证明文件，有效业绩应同时提供：中标公告（政府采购相关网站中标公告的下载网页并注明网址）、中标通知书复印件、项目承包合同文本复印件、用户评价报告文本复印件，未同时提供上述证明材料并加盖投标人公章的，不得分（注：同一业绩不与“服务质量评价”项评分重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7.服务质量评价</w:t>
            </w:r>
          </w:p>
        </w:tc>
        <w:tc>
          <w:tcPr>
            <w:tcW w:w="675" w:type="dxa"/>
            <w:shd w:val="clear" w:color="auto" w:fill="auto"/>
            <w:vAlign w:val="center"/>
          </w:tcPr>
          <w:p>
            <w:pPr>
              <w:widowControl/>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自2019年1月1日至本次投标截止日期止（以合同签订日期起始计算，含正在履约）承担的公厕保洁或转运站管养（含污水抽吸）或者承担的同类项目中包含公厕保洁或转运站管养（含污水抽吸）服务质量情况来打分，达到“优秀”或“满意”的，每提供一份证明材料得1分，满分3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注：投标人应如实提供合同文本复印件、用户反馈证明文件,未同时提供以上各项证明材料的，该项不给予计分。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8.企业荣誉（1）</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ascii="宋体" w:hAnsi="宋体" w:eastAsia="宋体" w:cs="宋体"/>
                <w:color w:val="auto"/>
                <w:kern w:val="0"/>
                <w:sz w:val="24"/>
                <w:highlight w:val="none"/>
                <w:lang w:bidi="ar"/>
              </w:rPr>
              <w:t>1</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投标人自2016年1月1日至本次投标截止日期，获得环境卫生行政主管部门颁发的优秀企业或先进企业荣誉称号的得</w:t>
            </w:r>
            <w:r>
              <w:rPr>
                <w:rFonts w:ascii="宋体" w:hAnsi="宋体" w:eastAsia="宋体" w:cs="宋体"/>
                <w:color w:val="auto"/>
                <w:kern w:val="0"/>
                <w:sz w:val="24"/>
                <w:highlight w:val="none"/>
                <w:lang w:bidi="ar"/>
              </w:rPr>
              <w:t>1</w:t>
            </w:r>
            <w:r>
              <w:rPr>
                <w:rFonts w:hint="eastAsia" w:ascii="宋体" w:hAnsi="宋体" w:eastAsia="宋体" w:cs="宋体"/>
                <w:color w:val="auto"/>
                <w:kern w:val="0"/>
                <w:sz w:val="24"/>
                <w:highlight w:val="none"/>
                <w:lang w:bidi="ar"/>
              </w:rPr>
              <w:t>分，须提供证书复印件，否则不得分。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9.员工荣誉（2）</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投标人自2016年1月1日至本次投标截止日期，员工获得劳模荣誉称号或五一劳动奖章荣誉称号的得1分。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注：投标人须同时提供：①获得的证书复印件，②投标截止时间前六个月（不含投标截止时间当月）任意一个月由投标人为其缴纳社保的证明材料，并加盖投标人单位公章。材料提供不齐全或者未提供的不得分。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10.水电工配备情况</w:t>
            </w:r>
          </w:p>
        </w:tc>
        <w:tc>
          <w:tcPr>
            <w:tcW w:w="675" w:type="dxa"/>
            <w:shd w:val="clear" w:color="auto" w:fill="auto"/>
            <w:vAlign w:val="center"/>
          </w:tcPr>
          <w:p>
            <w:pPr>
              <w:widowControl/>
              <w:jc w:val="center"/>
              <w:rPr>
                <w:rFonts w:hint="eastAsia" w:ascii="宋体" w:hAnsi="宋体" w:eastAsia="宋体" w:cs="宋体"/>
                <w:color w:val="auto"/>
                <w:sz w:val="24"/>
                <w:highlight w:val="none"/>
                <w:lang w:eastAsia="zh-CN"/>
              </w:rPr>
            </w:pPr>
            <w:r>
              <w:rPr>
                <w:rFonts w:hint="eastAsia" w:ascii="宋体" w:hAnsi="宋体" w:eastAsia="宋体" w:cs="宋体"/>
                <w:color w:val="auto"/>
                <w:kern w:val="0"/>
                <w:sz w:val="24"/>
                <w:highlight w:val="none"/>
                <w:lang w:val="en-US" w:eastAsia="zh-CN" w:bidi="ar"/>
              </w:rPr>
              <w:t>3</w:t>
            </w:r>
          </w:p>
        </w:tc>
        <w:tc>
          <w:tcPr>
            <w:tcW w:w="6478" w:type="dxa"/>
            <w:shd w:val="clear" w:color="auto" w:fill="auto"/>
            <w:vAlign w:val="center"/>
          </w:tcPr>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评标委员会根据投标人现有的水电工数情况进行打分：每提供</w:t>
            </w:r>
            <w:r>
              <w:rPr>
                <w:rFonts w:hint="eastAsia" w:ascii="宋体" w:hAnsi="宋体" w:eastAsia="宋体" w:cs="宋体"/>
                <w:color w:val="auto"/>
                <w:kern w:val="0"/>
                <w:sz w:val="24"/>
                <w:highlight w:val="none"/>
                <w:lang w:val="en-US" w:eastAsia="zh-CN" w:bidi="ar"/>
              </w:rPr>
              <w:t>1</w:t>
            </w:r>
            <w:r>
              <w:rPr>
                <w:rFonts w:hint="eastAsia" w:ascii="宋体" w:hAnsi="宋体" w:eastAsia="宋体" w:cs="宋体"/>
                <w:color w:val="auto"/>
                <w:kern w:val="0"/>
                <w:sz w:val="24"/>
                <w:highlight w:val="none"/>
                <w:lang w:bidi="ar"/>
              </w:rPr>
              <w:t>人得1分</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bidi="ar"/>
              </w:rPr>
              <w:t>满分</w:t>
            </w:r>
            <w:r>
              <w:rPr>
                <w:rFonts w:hint="eastAsia" w:ascii="宋体" w:hAnsi="宋体" w:eastAsia="宋体" w:cs="宋体"/>
                <w:color w:val="auto"/>
                <w:kern w:val="0"/>
                <w:sz w:val="24"/>
                <w:highlight w:val="none"/>
                <w:lang w:val="en-US" w:eastAsia="zh-CN" w:bidi="ar"/>
              </w:rPr>
              <w:t>3</w:t>
            </w:r>
            <w:r>
              <w:rPr>
                <w:rFonts w:hint="eastAsia" w:ascii="宋体" w:hAnsi="宋体" w:eastAsia="宋体" w:cs="宋体"/>
                <w:color w:val="auto"/>
                <w:kern w:val="0"/>
                <w:sz w:val="24"/>
                <w:highlight w:val="none"/>
                <w:lang w:bidi="ar"/>
              </w:rPr>
              <w:t>分。</w:t>
            </w:r>
          </w:p>
          <w:p>
            <w:pPr>
              <w:widowControl/>
              <w:adjustRightInd w:val="0"/>
              <w:snapToGrid w:val="0"/>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注：投标人须提供相关技术证书复印件及投标截止时间前六个月（不含投标截止时间当月）任意一个月由投标人为其缴纳社保的证明材料，并加盖投标人单位公章。材料提供不齐全或者未提供的不得分。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68"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11.投标文件制作</w:t>
            </w:r>
          </w:p>
        </w:tc>
        <w:tc>
          <w:tcPr>
            <w:tcW w:w="675" w:type="dxa"/>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bidi="ar"/>
              </w:rPr>
              <w:t>1</w:t>
            </w:r>
            <w:r>
              <w:rPr>
                <w:rFonts w:hint="eastAsia" w:ascii="宋体" w:hAnsi="宋体" w:eastAsia="宋体" w:cs="宋体"/>
                <w:color w:val="auto"/>
                <w:kern w:val="0"/>
                <w:sz w:val="24"/>
                <w:highlight w:val="none"/>
                <w:lang w:bidi="ar"/>
              </w:rPr>
              <w:t xml:space="preserve">                                                                                                                                                                                                                                           </w:t>
            </w:r>
          </w:p>
        </w:tc>
        <w:tc>
          <w:tcPr>
            <w:tcW w:w="6478" w:type="dxa"/>
            <w:shd w:val="clear" w:color="auto" w:fill="auto"/>
            <w:vAlign w:val="center"/>
          </w:tcPr>
          <w:p>
            <w:pPr>
              <w:widowControl/>
              <w:numPr>
                <w:ilvl w:val="255"/>
                <w:numId w:val="0"/>
              </w:numPr>
              <w:ind w:left="0" w:leftChars="0" w:firstLine="0" w:firstLineChars="0"/>
              <w:jc w:val="left"/>
              <w:rPr>
                <w:rFonts w:ascii="宋体" w:hAnsi="宋体" w:eastAsia="宋体" w:cs="宋体"/>
                <w:color w:val="auto"/>
                <w:kern w:val="0"/>
                <w:sz w:val="24"/>
                <w:highlight w:val="none"/>
                <w:lang w:bidi="ar"/>
              </w:rPr>
            </w:pPr>
            <w:r>
              <w:rPr>
                <w:rFonts w:hint="eastAsia" w:asciiTheme="minorEastAsia" w:hAnsiTheme="minorEastAsia" w:cstheme="minorEastAsia"/>
                <w:color w:val="auto"/>
                <w:kern w:val="0"/>
                <w:sz w:val="24"/>
                <w:szCs w:val="24"/>
                <w:lang w:val="en-US" w:eastAsia="zh-CN" w:bidi="ar"/>
              </w:rPr>
              <w:t>投标人</w:t>
            </w:r>
            <w:r>
              <w:rPr>
                <w:rFonts w:hint="eastAsia" w:ascii="宋体" w:hAnsi="宋体" w:eastAsia="宋体" w:cs="宋体"/>
                <w:color w:val="auto"/>
                <w:sz w:val="24"/>
                <w:szCs w:val="24"/>
              </w:rPr>
              <w:t>按照福建省政府采购网上公开信息系统设定的评审节点编制电子投标文件</w:t>
            </w:r>
            <w:r>
              <w:rPr>
                <w:rFonts w:hint="eastAsia" w:ascii="宋体" w:hAnsi="宋体" w:eastAsia="宋体" w:cs="宋体"/>
                <w:color w:val="auto"/>
                <w:sz w:val="24"/>
                <w:szCs w:val="24"/>
                <w:lang w:val="en-US" w:eastAsia="zh-CN"/>
              </w:rPr>
              <w:t>的基础上，电子</w:t>
            </w:r>
            <w:r>
              <w:rPr>
                <w:rFonts w:hint="eastAsia" w:asciiTheme="minorEastAsia" w:hAnsiTheme="minorEastAsia" w:cstheme="minorEastAsia"/>
                <w:color w:val="auto"/>
                <w:kern w:val="0"/>
                <w:sz w:val="24"/>
                <w:szCs w:val="24"/>
                <w:lang w:val="en-US" w:eastAsia="zh-CN" w:bidi="ar"/>
              </w:rPr>
              <w:t>投标文件有目录索引、有点对点应答的</w:t>
            </w:r>
            <w:r>
              <w:rPr>
                <w:rFonts w:hint="eastAsia" w:asciiTheme="minorEastAsia" w:hAnsiTheme="minorEastAsia" w:cstheme="minorEastAsia"/>
                <w:color w:val="auto"/>
                <w:kern w:val="0"/>
                <w:sz w:val="24"/>
                <w:szCs w:val="24"/>
                <w:lang w:bidi="ar"/>
              </w:rPr>
              <w:t>得1分，</w:t>
            </w:r>
            <w:r>
              <w:rPr>
                <w:rFonts w:hint="eastAsia" w:asciiTheme="minorEastAsia" w:hAnsiTheme="minorEastAsia" w:cstheme="minorEastAsia"/>
                <w:color w:val="auto"/>
                <w:kern w:val="0"/>
                <w:sz w:val="24"/>
                <w:szCs w:val="24"/>
                <w:lang w:val="en-US" w:eastAsia="zh-CN" w:bidi="ar"/>
              </w:rPr>
              <w:t>否则</w:t>
            </w:r>
            <w:r>
              <w:rPr>
                <w:rFonts w:hint="eastAsia" w:asciiTheme="minorEastAsia" w:hAnsiTheme="minorEastAsia" w:cstheme="minorEastAsia"/>
                <w:color w:val="auto"/>
                <w:kern w:val="0"/>
                <w:sz w:val="24"/>
                <w:szCs w:val="24"/>
                <w:lang w:bidi="ar"/>
              </w:rPr>
              <w:t>不得分。</w:t>
            </w:r>
          </w:p>
        </w:tc>
      </w:tr>
    </w:tbl>
    <w:p>
      <w:pPr>
        <w:pStyle w:val="14"/>
        <w:widowControl/>
        <w:spacing w:beforeAutospacing="0" w:after="150" w:afterAutospacing="0"/>
        <w:ind w:firstLine="480"/>
        <w:rPr>
          <w:rFonts w:ascii="宋体" w:hAnsi="宋体" w:eastAsia="宋体" w:cs="宋体"/>
          <w:color w:val="auto"/>
          <w:highlight w:val="none"/>
        </w:rPr>
      </w:pP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④加分项（F4×A4）</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a.优先类节能产品、环境标志产品：</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a2若节能、环境标志产品仅是构成投标产品的部件、组件或零件，则该投标产品不享受鼓励优惠政策。同一品目中各认证证书不重复计算加分。强制类节能产品不享受加分。</w:t>
      </w:r>
    </w:p>
    <w:p>
      <w:pPr>
        <w:pStyle w:val="14"/>
        <w:widowControl/>
        <w:spacing w:beforeAutospacing="0" w:after="150" w:afterAutospacing="0"/>
        <w:ind w:firstLine="480"/>
        <w:rPr>
          <w:rFonts w:ascii="宋体" w:hAnsi="宋体" w:eastAsia="宋体" w:cs="宋体"/>
          <w:color w:val="auto"/>
          <w:highlight w:val="none"/>
        </w:rPr>
      </w:pPr>
    </w:p>
    <w:p>
      <w:pPr>
        <w:pStyle w:val="14"/>
        <w:widowControl/>
        <w:spacing w:beforeAutospacing="0" w:after="150" w:afterAutospacing="0"/>
        <w:ind w:firstLine="480"/>
        <w:rPr>
          <w:rFonts w:ascii="宋体" w:hAnsi="宋体" w:eastAsia="宋体" w:cs="宋体"/>
          <w:color w:val="auto"/>
          <w:highlight w:val="none"/>
        </w:rPr>
      </w:pPr>
      <w:r>
        <w:rPr>
          <w:rStyle w:val="20"/>
          <w:rFonts w:hint="eastAsia" w:ascii="宋体" w:hAnsi="宋体" w:eastAsia="宋体" w:cs="宋体"/>
          <w:color w:val="auto"/>
          <w:highlight w:val="none"/>
        </w:rPr>
        <w:t xml:space="preserve">   无</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（4）中标候选人排列规则顺序如下：</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a.按照评标总得分（FA）由高到低顺序排列。</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b.评标总得分（FA）相同的，按照评标价（即价格扣除后的投标报价）由低到高顺序排列。</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c.评标总得分（FA）且评标价（即价格扣除后的投标报价）相同的并列。</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8、其他规定</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8.1评标应全程保密且不得透露给任一投标人或与评标工作无关的人员。</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8.2评标将进行全程实时录音录像，录音录像资料随采购文件一并存档。</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8.3若投标人有任何试图干扰具体评标事务，影响评标委员会独立履行职责的行为，其投标无效且不予退还投标保证金。情节严重的，由财政部门列入不良行为记录。</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8.4其他：无</w:t>
      </w:r>
    </w:p>
    <w:p>
      <w:pPr>
        <w:pStyle w:val="14"/>
        <w:widowControl/>
        <w:spacing w:before="75" w:beforeAutospacing="0" w:after="75" w:afterAutospacing="0" w:line="312" w:lineRule="auto"/>
        <w:rPr>
          <w:rFonts w:ascii="宋体" w:hAnsi="宋体" w:eastAsia="宋体" w:cs="宋体"/>
          <w:color w:val="auto"/>
          <w:highlight w:val="none"/>
        </w:rPr>
      </w:pPr>
      <w:r>
        <w:rPr>
          <w:rFonts w:hint="eastAsia" w:ascii="宋体" w:hAnsi="宋体" w:eastAsia="宋体" w:cs="宋体"/>
          <w:color w:val="auto"/>
          <w:highlight w:val="none"/>
        </w:rPr>
        <w:br w:type="page"/>
      </w:r>
    </w:p>
    <w:p>
      <w:pPr>
        <w:pStyle w:val="14"/>
        <w:widowControl/>
        <w:spacing w:before="75" w:beforeAutospacing="0" w:after="75" w:afterAutospacing="0"/>
        <w:jc w:val="center"/>
        <w:outlineLvl w:val="0"/>
        <w:rPr>
          <w:rFonts w:ascii="宋体" w:hAnsi="宋体" w:eastAsia="宋体" w:cs="宋体"/>
          <w:color w:val="auto"/>
          <w:highlight w:val="none"/>
        </w:rPr>
      </w:pPr>
      <w:bookmarkStart w:id="4" w:name="_Toc30922"/>
      <w:r>
        <w:rPr>
          <w:rStyle w:val="20"/>
          <w:rFonts w:hint="eastAsia" w:ascii="宋体" w:hAnsi="宋体" w:eastAsia="宋体" w:cs="宋体"/>
          <w:color w:val="auto"/>
          <w:sz w:val="31"/>
          <w:szCs w:val="31"/>
          <w:highlight w:val="none"/>
        </w:rPr>
        <w:t>第五章   招标内容及要求</w:t>
      </w:r>
      <w:bookmarkEnd w:id="4"/>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一、项目概况（采购标的）</w:t>
      </w:r>
    </w:p>
    <w:p>
      <w:pPr>
        <w:pStyle w:val="14"/>
        <w:widowControl/>
        <w:spacing w:before="75" w:beforeAutospacing="0" w:after="75"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本项目为台江区新一轮公厕管养（含污水抽吸转运）项目。本次采购的服务内容为台江区110座公厕、闽江沿线7座公厕以及4个转运站污水抽吸转运的日常运行管养服务。</w:t>
      </w:r>
    </w:p>
    <w:p>
      <w:pPr>
        <w:pStyle w:val="14"/>
        <w:widowControl/>
        <w:spacing w:before="75" w:beforeAutospacing="0" w:after="75"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合同包1为东部55座公厕管养及5座公厕和2座转运站污水抽吸转运（以下简称为“东部”）；合同包2为西部55座公厕管养及2座公厕和2座转运站污水抽吸转运（以下简称为“西部”）。</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二、技术和服务要求</w:t>
      </w:r>
      <w:r>
        <w:rPr>
          <w:rStyle w:val="20"/>
          <w:rFonts w:hint="eastAsia" w:ascii="宋体" w:hAnsi="宋体" w:eastAsia="宋体" w:cs="宋体"/>
          <w:color w:val="auto"/>
          <w:highlight w:val="none"/>
        </w:rPr>
        <w:t>（以“★”标示的内容为不允许负偏离的实质性要求）</w:t>
      </w:r>
    </w:p>
    <w:p>
      <w:pPr>
        <w:pStyle w:val="14"/>
        <w:widowControl/>
        <w:rPr>
          <w:rFonts w:ascii="宋体" w:hAnsi="宋体" w:eastAsia="宋体" w:cs="宋体"/>
          <w:color w:val="auto"/>
          <w:sz w:val="32"/>
          <w:szCs w:val="32"/>
          <w:highlight w:val="none"/>
        </w:rPr>
      </w:pPr>
      <w:r>
        <w:rPr>
          <w:rStyle w:val="20"/>
          <w:rFonts w:hint="eastAsia" w:ascii="宋体" w:hAnsi="宋体" w:eastAsia="宋体" w:cs="宋体"/>
          <w:color w:val="auto"/>
          <w:highlight w:val="none"/>
        </w:rPr>
        <w:t>【注意:“（一）项目服务内容”、“（二）项目服务范围”、“(六）项目服务要求”的条款均为不允许负偏离的实性质条款</w:t>
      </w:r>
      <w:r>
        <w:rPr>
          <w:rStyle w:val="20"/>
          <w:rFonts w:hint="eastAsia" w:ascii="宋体" w:hAnsi="宋体" w:eastAsia="宋体" w:cs="宋体"/>
          <w:color w:val="auto"/>
          <w:highlight w:val="none"/>
          <w:lang w:eastAsia="zh-CN"/>
        </w:rPr>
        <w:t>，</w:t>
      </w:r>
      <w:r>
        <w:rPr>
          <w:rStyle w:val="20"/>
          <w:rFonts w:hint="eastAsia" w:ascii="宋体" w:hAnsi="宋体" w:eastAsia="宋体" w:cs="宋体"/>
          <w:color w:val="auto"/>
          <w:highlight w:val="none"/>
        </w:rPr>
        <w:t>负</w:t>
      </w:r>
      <w:r>
        <w:rPr>
          <w:rStyle w:val="20"/>
          <w:rFonts w:hint="eastAsia" w:ascii="宋体" w:hAnsi="宋体" w:eastAsia="宋体" w:cs="宋体"/>
          <w:color w:val="auto"/>
          <w:highlight w:val="none"/>
          <w:lang w:val="en-US" w:eastAsia="zh-CN"/>
        </w:rPr>
        <w:t>偏离按投标无效处理。</w:t>
      </w:r>
      <w:r>
        <w:rPr>
          <w:rStyle w:val="20"/>
          <w:rFonts w:hint="eastAsia" w:ascii="宋体" w:hAnsi="宋体" w:eastAsia="宋体" w:cs="宋体"/>
          <w:color w:val="auto"/>
          <w:highlight w:val="none"/>
        </w:rPr>
        <w:t>投标人在投标文件中须针对以上内容在“技术和服务要求响应表”中进行响应。若采购人发现中标人承诺的内容与真实情况不一致的违法违规行为，采购人有权取消其合同签订或终止合同，并报同级财政部门，因此给采购人造成损失的，中标人需另行支付相应的赔偿。】</w:t>
      </w:r>
    </w:p>
    <w:p>
      <w:pPr>
        <w:rPr>
          <w:rFonts w:ascii="宋体" w:hAnsi="宋体" w:eastAsia="宋体" w:cs="宋体"/>
          <w:b/>
          <w:bCs/>
          <w:color w:val="auto"/>
          <w:sz w:val="24"/>
          <w:highlight w:val="none"/>
        </w:rPr>
      </w:pPr>
      <w:r>
        <w:rPr>
          <w:rFonts w:hint="eastAsia" w:ascii="宋体" w:hAnsi="宋体" w:eastAsia="宋体" w:cs="宋体"/>
          <w:b/>
          <w:bCs/>
          <w:color w:val="auto"/>
          <w:sz w:val="24"/>
          <w:highlight w:val="none"/>
        </w:rPr>
        <w:t>（一）项目服务内容</w:t>
      </w:r>
    </w:p>
    <w:p>
      <w:pPr>
        <w:widowControl/>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1.公厕管养服务费用包括：人工费（人员工资、岗位津贴、法定节假日补贴、年终奖、高温费等）、规费（五险一金）、水电费、清渣维修费（公厕维护维修、清渣及疏通）、工具费（日常保洁工具、消杀器具、除臭去异味、绿植及药水费、公厕台账本、责任牌及管理标准牌等）、劳保费（服装、手套等）、人身意外险、体检费、卷纸、洗手液、企业管理费（管理人员工资、工会经费、雇主责任险等）、利润、税费等完成本项目所需的一切费用。</w:t>
      </w:r>
    </w:p>
    <w:p>
      <w:pPr>
        <w:widowControl/>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2.闽江沿线7座公厕以及4个转运站污水抽吸转运服务费用包括：人工费（人员工资、法定节假日补贴、体检费、年终奖、高温费等）、规费（五险一金）、车辆折旧费、停车费、油耗、车辆维修保险、企业管理费（管理人员工资、工会经费、雇主责任险等）、企业利润、企业税金等完成本项目所需的一切费用。</w:t>
      </w:r>
    </w:p>
    <w:p>
      <w:pPr>
        <w:numPr>
          <w:ilvl w:val="0"/>
          <w:numId w:val="1"/>
        </w:numPr>
        <w:rPr>
          <w:rFonts w:ascii="宋体" w:hAnsi="宋体" w:eastAsia="宋体" w:cs="宋体"/>
          <w:b/>
          <w:bCs/>
          <w:color w:val="auto"/>
          <w:sz w:val="24"/>
          <w:highlight w:val="none"/>
        </w:rPr>
      </w:pPr>
      <w:r>
        <w:rPr>
          <w:rFonts w:hint="eastAsia" w:ascii="宋体" w:hAnsi="宋体" w:eastAsia="宋体" w:cs="宋体"/>
          <w:b/>
          <w:bCs/>
          <w:color w:val="auto"/>
          <w:sz w:val="24"/>
          <w:highlight w:val="none"/>
        </w:rPr>
        <w:t>项目服务范围</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考虑到公司规模化经营、鼓励竞争等因素，将辖区公厕按东、西部划分为2个合同包(其中：合同包一东部项目含55座公厕管养、5座公厕及2座转运站污水抽吸转运、需负责鳌峰环卫公寓以及鳌兴路331号1#、2#、3#免费清渣；合同包二西部项目含55座公厕管养、2座公厕及2座转运站污水抽吸转运、需免费负责5个倒桶点白玉兰、华侨中学、江墘下、夺锦标、中白路的管养及清渣，具体如下：</w:t>
      </w:r>
    </w:p>
    <w:p>
      <w:pPr>
        <w:pStyle w:val="14"/>
        <w:spacing w:beforeAutospacing="0" w:afterAutospacing="0"/>
        <w:rPr>
          <w:rFonts w:ascii="宋体" w:hAnsi="宋体" w:eastAsia="宋体" w:cs="宋体"/>
          <w:color w:val="auto"/>
          <w:highlight w:val="none"/>
        </w:rPr>
      </w:pPr>
    </w:p>
    <w:p>
      <w:pPr>
        <w:pStyle w:val="14"/>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合同包一（东部）：</w:t>
      </w:r>
    </w:p>
    <w:tbl>
      <w:tblPr>
        <w:tblStyle w:val="18"/>
        <w:tblW w:w="8420" w:type="dxa"/>
        <w:tblInd w:w="93" w:type="dxa"/>
        <w:tblLayout w:type="fixed"/>
        <w:tblCellMar>
          <w:top w:w="0" w:type="dxa"/>
          <w:left w:w="108" w:type="dxa"/>
          <w:bottom w:w="0" w:type="dxa"/>
          <w:right w:w="108" w:type="dxa"/>
        </w:tblCellMar>
      </w:tblPr>
      <w:tblGrid>
        <w:gridCol w:w="825"/>
        <w:gridCol w:w="1700"/>
        <w:gridCol w:w="1017"/>
        <w:gridCol w:w="3292"/>
        <w:gridCol w:w="1586"/>
      </w:tblGrid>
      <w:tr>
        <w:tblPrEx>
          <w:tblCellMar>
            <w:top w:w="0" w:type="dxa"/>
            <w:left w:w="108" w:type="dxa"/>
            <w:bottom w:w="0" w:type="dxa"/>
            <w:right w:w="108" w:type="dxa"/>
          </w:tblCellMar>
        </w:tblPrEx>
        <w:trPr>
          <w:trHeight w:val="534" w:hRule="atLeast"/>
        </w:trPr>
        <w:tc>
          <w:tcPr>
            <w:tcW w:w="8420" w:type="dxa"/>
            <w:gridSpan w:val="5"/>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4"/>
                <w:highlight w:val="none"/>
                <w:lang w:bidi="ar"/>
              </w:rPr>
              <w:t>包1（东部）：台江区公厕管养一览表</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公厕名称</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街道</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具体位置</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开放时间</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红星场</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红星村垃圾转运站边</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农贸一</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农贸一群体一层老字号边1</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尾垱</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六一路童装城一楼</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建新一</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台江农贸建新3区2号（2层）</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建新二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建新市场4区1-38号</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689"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6</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原长乐南路（现迎河弄）</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银河庙边</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光明港苑</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长乐南路 </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8</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鼓山桥下</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江滨大道鼓山桥下</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鳌兴路(东）</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鳌兴路（车队）</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鳌港路</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鳌港路</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鳄鱼公园（一）</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鳌峰路鳄鱼公园内</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鳄鱼公园（二）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鳌峰路鳄鱼公园内</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海西</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鳌峰路海西大厦内</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善安里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新港路福日新村1座边</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15</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雁塔</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雁塔4弄23号边</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鞋城</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国货路晋安河公园内</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新港苑</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新港路 </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玉树</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河口里49-1对面</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君临闽江</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江滨大道君临闽江对面</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鳌峰洲公寓</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江滨大道鳌峰洲公寓对面</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1028"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原名：光明港公园（三）搬迁后（红星苑）</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光明港公园（鳌兴佳园）</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689"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原光明港公园二（现新天城）</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新天城对面</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鳌江路</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鳌江路7号</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三桥西</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连江路三桥下西侧</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鳌峰路垃圾站边</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 xml:space="preserve"> 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鳌峰路2</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鳌峰路小压站边</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闽运加汽站</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鳌港路</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28</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亚兴路</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亚兴路桥头</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41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鳌峰禽蛋市场</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鳌峰路亚兴路口</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鳌峰永辉</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鳌峰路鳄鱼公园边</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41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福光南</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福光南路</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三桥下</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江滨大道鳌峰三桥下</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游艇码头</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亚峰小区</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曙光路亚峰小区</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江滨大道五</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江滨大道（威斯汀酒店对面)</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41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江滨大道六</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江滨大道（海润滨江对面）</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鳌兴路(中）</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凡尔赛宫对面 </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鳌兴路（西）</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香江万里对面</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39</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琼东河</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群众东路115号</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40</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十四桥</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五一路唐城大厦十四桥边</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41</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群众东路</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2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群众东路市体育馆边</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象园</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国货东路象园新村6座边</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41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南公园</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国货路南公园内</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44</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柔远雅苑</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琯后街（停车场内）</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689"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光明港公园一(现打铁垱)</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六一路加油站斜对面</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1028"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46</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江滨公园（一）搬迁至侨信公寓对面</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鳌峰</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由台江码头吊至连江中路与鳌兴路路口</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47</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兴化埕</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银湘弄37号</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48</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达道</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达道路市一医院西侧</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49</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江滨公园（三）</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江滨公园步行街</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50" w:hRule="atLeast"/>
        </w:trPr>
        <w:tc>
          <w:tcPr>
            <w:tcW w:w="8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50</w:t>
            </w:r>
          </w:p>
        </w:tc>
        <w:tc>
          <w:tcPr>
            <w:tcW w:w="17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苍霞公园</w:t>
            </w:r>
          </w:p>
        </w:tc>
        <w:tc>
          <w:tcPr>
            <w:tcW w:w="10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9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江滨大道三县洲桥西</w:t>
            </w:r>
          </w:p>
        </w:tc>
        <w:tc>
          <w:tcPr>
            <w:tcW w:w="15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61" w:hRule="atLeast"/>
        </w:trPr>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51-55</w:t>
            </w:r>
          </w:p>
        </w:tc>
        <w:tc>
          <w:tcPr>
            <w:tcW w:w="75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剩余5座具体以采购人实际交付为准</w:t>
            </w:r>
          </w:p>
        </w:tc>
      </w:tr>
    </w:tbl>
    <w:p>
      <w:pPr>
        <w:jc w:val="center"/>
        <w:rPr>
          <w:rFonts w:ascii="宋体" w:hAnsi="宋体" w:eastAsia="宋体" w:cs="宋体"/>
          <w:color w:val="auto"/>
          <w:kern w:val="0"/>
          <w:sz w:val="24"/>
          <w:highlight w:val="none"/>
          <w:lang w:bidi="ar"/>
        </w:rPr>
      </w:pPr>
    </w:p>
    <w:p>
      <w:pPr>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包1（东部）：5座公厕及2座转运站污水抽吸转运一览表</w:t>
      </w:r>
    </w:p>
    <w:tbl>
      <w:tblPr>
        <w:tblStyle w:val="18"/>
        <w:tblW w:w="8418" w:type="dxa"/>
        <w:tblInd w:w="93" w:type="dxa"/>
        <w:tblLayout w:type="fixed"/>
        <w:tblCellMar>
          <w:top w:w="0" w:type="dxa"/>
          <w:left w:w="108" w:type="dxa"/>
          <w:bottom w:w="0" w:type="dxa"/>
          <w:right w:w="108" w:type="dxa"/>
        </w:tblCellMar>
      </w:tblPr>
      <w:tblGrid>
        <w:gridCol w:w="754"/>
        <w:gridCol w:w="3113"/>
        <w:gridCol w:w="1109"/>
        <w:gridCol w:w="3442"/>
      </w:tblGrid>
      <w:tr>
        <w:tblPrEx>
          <w:tblCellMar>
            <w:top w:w="0" w:type="dxa"/>
            <w:left w:w="108" w:type="dxa"/>
            <w:bottom w:w="0" w:type="dxa"/>
            <w:right w:w="108" w:type="dxa"/>
          </w:tblCellMar>
        </w:tblPrEx>
        <w:trPr>
          <w:trHeight w:val="348" w:hRule="atLeast"/>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3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公厕及转运站名称</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街道</w:t>
            </w:r>
          </w:p>
        </w:tc>
        <w:tc>
          <w:tcPr>
            <w:tcW w:w="34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具体位置</w:t>
            </w:r>
          </w:p>
        </w:tc>
      </w:tr>
      <w:tr>
        <w:tblPrEx>
          <w:tblCellMar>
            <w:top w:w="0" w:type="dxa"/>
            <w:left w:w="108" w:type="dxa"/>
            <w:bottom w:w="0" w:type="dxa"/>
            <w:right w:w="108" w:type="dxa"/>
          </w:tblCellMar>
        </w:tblPrEx>
        <w:trPr>
          <w:trHeight w:val="348" w:hRule="atLeast"/>
        </w:trPr>
        <w:tc>
          <w:tcPr>
            <w:tcW w:w="75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w:t>
            </w:r>
          </w:p>
        </w:tc>
        <w:tc>
          <w:tcPr>
            <w:tcW w:w="311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三桥下</w:t>
            </w:r>
          </w:p>
        </w:tc>
        <w:tc>
          <w:tcPr>
            <w:tcW w:w="110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4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江滨大道鳌峰三桥下</w:t>
            </w:r>
          </w:p>
        </w:tc>
      </w:tr>
      <w:tr>
        <w:tblPrEx>
          <w:tblCellMar>
            <w:top w:w="0" w:type="dxa"/>
            <w:left w:w="108" w:type="dxa"/>
            <w:bottom w:w="0" w:type="dxa"/>
            <w:right w:w="108" w:type="dxa"/>
          </w:tblCellMar>
        </w:tblPrEx>
        <w:trPr>
          <w:trHeight w:val="348"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2</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鳌峰洲公寓</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江滨大道鳌峰洲公寓对面</w:t>
            </w:r>
          </w:p>
        </w:tc>
      </w:tr>
      <w:tr>
        <w:tblPrEx>
          <w:tblCellMar>
            <w:top w:w="0" w:type="dxa"/>
            <w:left w:w="108" w:type="dxa"/>
            <w:bottom w:w="0" w:type="dxa"/>
            <w:right w:w="108" w:type="dxa"/>
          </w:tblCellMar>
        </w:tblPrEx>
        <w:trPr>
          <w:trHeight w:val="348"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君临闽江</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江滨大道君临闽江对面</w:t>
            </w:r>
          </w:p>
        </w:tc>
      </w:tr>
      <w:tr>
        <w:tblPrEx>
          <w:tblCellMar>
            <w:top w:w="0" w:type="dxa"/>
            <w:left w:w="108" w:type="dxa"/>
            <w:bottom w:w="0" w:type="dxa"/>
            <w:right w:w="108" w:type="dxa"/>
          </w:tblCellMar>
        </w:tblPrEx>
        <w:trPr>
          <w:trHeight w:val="348"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江滨公园（三）</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江滨公园步行街</w:t>
            </w:r>
          </w:p>
        </w:tc>
      </w:tr>
      <w:tr>
        <w:tblPrEx>
          <w:tblCellMar>
            <w:top w:w="0" w:type="dxa"/>
            <w:left w:w="108" w:type="dxa"/>
            <w:bottom w:w="0" w:type="dxa"/>
            <w:right w:w="108" w:type="dxa"/>
          </w:tblCellMar>
        </w:tblPrEx>
        <w:trPr>
          <w:trHeight w:val="348"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苍霞公园</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江滨大道三县洲桥西</w:t>
            </w:r>
          </w:p>
        </w:tc>
      </w:tr>
      <w:tr>
        <w:tblPrEx>
          <w:tblCellMar>
            <w:top w:w="0" w:type="dxa"/>
            <w:left w:w="108" w:type="dxa"/>
            <w:bottom w:w="0" w:type="dxa"/>
            <w:right w:w="108" w:type="dxa"/>
          </w:tblCellMar>
        </w:tblPrEx>
        <w:trPr>
          <w:trHeight w:val="348"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6</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鳌峰（一）转运站</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台江区鳌峰路58号</w:t>
            </w:r>
          </w:p>
        </w:tc>
      </w:tr>
      <w:tr>
        <w:tblPrEx>
          <w:tblCellMar>
            <w:top w:w="0" w:type="dxa"/>
            <w:left w:w="108" w:type="dxa"/>
            <w:bottom w:w="0" w:type="dxa"/>
            <w:right w:w="108" w:type="dxa"/>
          </w:tblCellMar>
        </w:tblPrEx>
        <w:trPr>
          <w:trHeight w:val="358"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鳌峰（二）转运站</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台江区鳌峰路341号</w:t>
            </w:r>
          </w:p>
        </w:tc>
      </w:tr>
    </w:tbl>
    <w:p>
      <w:pPr>
        <w:pStyle w:val="14"/>
        <w:spacing w:beforeAutospacing="0" w:afterAutospacing="0"/>
        <w:rPr>
          <w:rFonts w:ascii="仿宋" w:hAnsi="仿宋" w:eastAsia="仿宋" w:cs="仿宋"/>
          <w:color w:val="auto"/>
          <w:sz w:val="32"/>
          <w:highlight w:val="none"/>
        </w:rPr>
      </w:pPr>
    </w:p>
    <w:p>
      <w:pPr>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合同包二（西部）：</w:t>
      </w:r>
    </w:p>
    <w:tbl>
      <w:tblPr>
        <w:tblStyle w:val="18"/>
        <w:tblW w:w="8440" w:type="dxa"/>
        <w:tblInd w:w="93" w:type="dxa"/>
        <w:tblLayout w:type="fixed"/>
        <w:tblCellMar>
          <w:top w:w="0" w:type="dxa"/>
          <w:left w:w="108" w:type="dxa"/>
          <w:bottom w:w="0" w:type="dxa"/>
          <w:right w:w="108" w:type="dxa"/>
        </w:tblCellMar>
      </w:tblPr>
      <w:tblGrid>
        <w:gridCol w:w="827"/>
        <w:gridCol w:w="1656"/>
        <w:gridCol w:w="1080"/>
        <w:gridCol w:w="3252"/>
        <w:gridCol w:w="1625"/>
      </w:tblGrid>
      <w:tr>
        <w:tblPrEx>
          <w:tblCellMar>
            <w:top w:w="0" w:type="dxa"/>
            <w:left w:w="108" w:type="dxa"/>
            <w:bottom w:w="0" w:type="dxa"/>
            <w:right w:w="108" w:type="dxa"/>
          </w:tblCellMar>
        </w:tblPrEx>
        <w:trPr>
          <w:trHeight w:val="665" w:hRule="atLeast"/>
        </w:trPr>
        <w:tc>
          <w:tcPr>
            <w:tcW w:w="8440" w:type="dxa"/>
            <w:gridSpan w:val="5"/>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4"/>
                <w:highlight w:val="none"/>
                <w:lang w:bidi="ar"/>
              </w:rPr>
              <w:t>包2（西部）：台江区公厕管养一览表</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公厕名称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街道</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具体位置</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开放时间</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闽水园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汀洲馆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白马南汀洲馆北侧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苍霞新城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苍霞新城嘉和苑8号楼</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青年会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解放大桥边青年会广场</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同德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同德路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6</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万侯园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后田街</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7</w:t>
            </w: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苍霞公园二</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江滨大道（苍霞公园口）</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8</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群众路疾控中心东侧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9</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仁德路东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仁德路公交汽车总站</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青春广场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广达路青春广场边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群众路与817路交叉口</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儿童公园路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儿童公园路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河口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河口新村2座底层</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14</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广达路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广达路正祥尊园</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和平大厦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五一路和平大厦北侧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16</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安平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五一路安平商场内5座</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17</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和平市场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和平市场东侧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18</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嘉辉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中亭街D区</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19</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嘉和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中亭街B区</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嘉同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中亭街F区</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台江路福泰华庭北侧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江滨公园步行街</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江滨公园步行街内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宁化垃圾站边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金沙园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26</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西二环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西二环路客运站</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676"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27</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原上浦路（现祥坂路）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祥坂路速8酒店对面</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28</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荷泽</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西二环中路667号旁</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676"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29</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下河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福建医大医院边下河里83号旁</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上海西一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上海新村144座边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凤凰小区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凤凰小区13座边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西洋新村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西洋新村35座边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白马垃圾转运场边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406"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34</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菏泽新村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二环路荷花新村5座对面</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上海新村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兰花路</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676"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36</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交通一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福建医大口腔医院旁</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5：30-次日</w:t>
            </w:r>
            <w:r>
              <w:rPr>
                <w:rFonts w:hint="eastAsia" w:ascii="宋体" w:hAnsi="宋体" w:eastAsia="宋体" w:cs="宋体"/>
                <w:color w:val="auto"/>
                <w:sz w:val="24"/>
                <w:highlight w:val="none"/>
              </w:rPr>
              <w:t>凌晨</w:t>
            </w:r>
            <w:r>
              <w:rPr>
                <w:rFonts w:hint="eastAsia" w:ascii="宋体" w:hAnsi="宋体" w:eastAsia="宋体" w:cs="宋体"/>
                <w:color w:val="auto"/>
                <w:kern w:val="0"/>
                <w:sz w:val="24"/>
                <w:highlight w:val="none"/>
                <w:lang w:bidi="ar"/>
              </w:rPr>
              <w:t>1：00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37</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交通西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交通西路与白马支路交叉口</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38</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白马河公园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白马支路 </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39</w:t>
            </w: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西洋地铁</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西洋路地铁口</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庭芳苑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义洲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工业路庭芳苑东侧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406"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义洲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白马南路浦西河五印桥边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义洲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茶亭河庭芳苑边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八一七路文化宫门口</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44</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45</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46</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47</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48</w:t>
            </w: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49</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横街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817中路横街天主教堂边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50</w:t>
            </w: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汽车南站</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国货路汽车南站边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676" w:hRule="atLeast"/>
        </w:trPr>
        <w:tc>
          <w:tcPr>
            <w:tcW w:w="82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51-55</w:t>
            </w:r>
          </w:p>
        </w:tc>
        <w:tc>
          <w:tcPr>
            <w:tcW w:w="7613"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剩余5座具体以采购人实际交付为准</w:t>
            </w:r>
          </w:p>
        </w:tc>
      </w:tr>
      <w:tr>
        <w:tblPrEx>
          <w:tblCellMar>
            <w:top w:w="0" w:type="dxa"/>
            <w:left w:w="108" w:type="dxa"/>
            <w:bottom w:w="0" w:type="dxa"/>
            <w:right w:w="108" w:type="dxa"/>
          </w:tblCellMar>
        </w:tblPrEx>
        <w:trPr>
          <w:trHeight w:val="657" w:hRule="atLeast"/>
        </w:trPr>
        <w:tc>
          <w:tcPr>
            <w:tcW w:w="8440" w:type="dxa"/>
            <w:gridSpan w:val="5"/>
            <w:tcBorders>
              <w:top w:val="single" w:color="auto" w:sz="4" w:space="0"/>
              <w:left w:val="nil"/>
              <w:bottom w:val="single" w:color="auto" w:sz="4" w:space="0"/>
              <w:right w:val="nil"/>
            </w:tcBorders>
            <w:shd w:val="clear" w:color="auto" w:fill="auto"/>
            <w:noWrap/>
            <w:vAlign w:val="center"/>
          </w:tcPr>
          <w:p>
            <w:pPr>
              <w:widowControl/>
              <w:ind w:firstLine="720" w:firstLineChars="300"/>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包2：2座公厕及2座转运站污水抽吸转运一览表</w:t>
            </w:r>
          </w:p>
        </w:tc>
      </w:tr>
      <w:tr>
        <w:tblPrEx>
          <w:tblCellMar>
            <w:top w:w="0" w:type="dxa"/>
            <w:left w:w="108" w:type="dxa"/>
            <w:bottom w:w="0" w:type="dxa"/>
            <w:right w:w="108" w:type="dxa"/>
          </w:tblCellMar>
        </w:tblPrEx>
        <w:trPr>
          <w:trHeight w:val="343" w:hRule="atLeast"/>
        </w:trPr>
        <w:tc>
          <w:tcPr>
            <w:tcW w:w="82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165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公厕及转运站名称</w:t>
            </w:r>
          </w:p>
        </w:tc>
        <w:tc>
          <w:tcPr>
            <w:tcW w:w="108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街道</w:t>
            </w:r>
          </w:p>
        </w:tc>
        <w:tc>
          <w:tcPr>
            <w:tcW w:w="487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具体位置</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闽水园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4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金沙园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w:t>
            </w:r>
          </w:p>
        </w:tc>
        <w:tc>
          <w:tcPr>
            <w:tcW w:w="4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1656"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同德转运站</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4877"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苍霞街道河下街37号</w:t>
            </w:r>
          </w:p>
        </w:tc>
      </w:tr>
      <w:tr>
        <w:tblPrEx>
          <w:tblCellMar>
            <w:top w:w="0" w:type="dxa"/>
            <w:left w:w="108" w:type="dxa"/>
            <w:bottom w:w="0" w:type="dxa"/>
            <w:right w:w="108" w:type="dxa"/>
          </w:tblCellMar>
        </w:tblPrEx>
        <w:trPr>
          <w:trHeight w:val="354"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4</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白马转运站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4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白马中路126号</w:t>
            </w:r>
          </w:p>
        </w:tc>
      </w:tr>
    </w:tbl>
    <w:p>
      <w:pPr>
        <w:pStyle w:val="14"/>
        <w:widowControl/>
        <w:numPr>
          <w:ilvl w:val="0"/>
          <w:numId w:val="1"/>
        </w:numPr>
        <w:spacing w:line="312" w:lineRule="auto"/>
        <w:rPr>
          <w:rStyle w:val="20"/>
          <w:rFonts w:ascii="宋体" w:hAnsi="宋体" w:eastAsia="宋体" w:cs="宋体"/>
          <w:bCs/>
          <w:color w:val="auto"/>
          <w:highlight w:val="none"/>
        </w:rPr>
      </w:pPr>
      <w:r>
        <w:rPr>
          <w:rStyle w:val="20"/>
          <w:rFonts w:hint="eastAsia" w:ascii="宋体" w:hAnsi="宋体" w:eastAsia="宋体" w:cs="宋体"/>
          <w:bCs/>
          <w:color w:val="auto"/>
          <w:highlight w:val="none"/>
        </w:rPr>
        <w:t>单座公厕市场化管养经费组成</w:t>
      </w:r>
    </w:p>
    <w:p>
      <w:pPr>
        <w:pStyle w:val="14"/>
        <w:widowControl/>
        <w:spacing w:line="312" w:lineRule="auto"/>
        <w:jc w:val="center"/>
        <w:rPr>
          <w:rStyle w:val="20"/>
          <w:rFonts w:ascii="宋体" w:hAnsi="宋体" w:eastAsia="宋体" w:cs="宋体"/>
          <w:bCs/>
          <w:color w:val="auto"/>
          <w:highlight w:val="none"/>
        </w:rPr>
      </w:pPr>
      <w:r>
        <w:rPr>
          <w:rStyle w:val="20"/>
          <w:rFonts w:hint="eastAsia" w:ascii="宋体" w:hAnsi="宋体" w:eastAsia="宋体" w:cs="宋体"/>
          <w:bCs/>
          <w:color w:val="auto"/>
          <w:highlight w:val="none"/>
        </w:rPr>
        <w:t>单座公厕市场化管养经费组成表</w:t>
      </w:r>
    </w:p>
    <w:tbl>
      <w:tblPr>
        <w:tblStyle w:val="18"/>
        <w:tblW w:w="8259" w:type="dxa"/>
        <w:jc w:val="center"/>
        <w:tblLayout w:type="fixed"/>
        <w:tblCellMar>
          <w:top w:w="0" w:type="dxa"/>
          <w:left w:w="108" w:type="dxa"/>
          <w:bottom w:w="0" w:type="dxa"/>
          <w:right w:w="108" w:type="dxa"/>
        </w:tblCellMar>
      </w:tblPr>
      <w:tblGrid>
        <w:gridCol w:w="1316"/>
        <w:gridCol w:w="2285"/>
        <w:gridCol w:w="4658"/>
      </w:tblGrid>
      <w:tr>
        <w:tblPrEx>
          <w:tblCellMar>
            <w:top w:w="0" w:type="dxa"/>
            <w:left w:w="108" w:type="dxa"/>
            <w:bottom w:w="0" w:type="dxa"/>
            <w:right w:w="108" w:type="dxa"/>
          </w:tblCellMar>
        </w:tblPrEx>
        <w:trPr>
          <w:trHeight w:val="391"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228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项目名称</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备注</w:t>
            </w:r>
          </w:p>
        </w:tc>
      </w:tr>
      <w:tr>
        <w:tblPrEx>
          <w:tblCellMar>
            <w:top w:w="0" w:type="dxa"/>
            <w:left w:w="108" w:type="dxa"/>
            <w:bottom w:w="0" w:type="dxa"/>
            <w:right w:w="108" w:type="dxa"/>
          </w:tblCellMar>
        </w:tblPrEx>
        <w:trPr>
          <w:trHeight w:val="391"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1</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人员薪酬</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auto"/>
                <w:sz w:val="24"/>
                <w:highlight w:val="none"/>
              </w:rPr>
            </w:pPr>
          </w:p>
        </w:tc>
      </w:tr>
      <w:tr>
        <w:tblPrEx>
          <w:tblCellMar>
            <w:top w:w="0" w:type="dxa"/>
            <w:left w:w="108" w:type="dxa"/>
            <w:bottom w:w="0" w:type="dxa"/>
            <w:right w:w="108" w:type="dxa"/>
          </w:tblCellMar>
        </w:tblPrEx>
        <w:trPr>
          <w:trHeight w:val="1113"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1.1.1</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基本工资（元/月）</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福建省2020年平均最低每人工资1720元*130%*12个月（榕城管委综【2019】282号）</w:t>
            </w:r>
          </w:p>
        </w:tc>
      </w:tr>
      <w:tr>
        <w:tblPrEx>
          <w:tblCellMar>
            <w:top w:w="0" w:type="dxa"/>
            <w:left w:w="108" w:type="dxa"/>
            <w:bottom w:w="0" w:type="dxa"/>
            <w:right w:w="108" w:type="dxa"/>
          </w:tblCellMar>
        </w:tblPrEx>
        <w:trPr>
          <w:trHeight w:val="753"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1.1.2</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岗位津贴（元/年)</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岗位津贴10元/日，总计250个工作日，参考《福州市道路清扫保洁经费定额》</w:t>
            </w:r>
          </w:p>
        </w:tc>
      </w:tr>
      <w:tr>
        <w:tblPrEx>
          <w:tblCellMar>
            <w:top w:w="0" w:type="dxa"/>
            <w:left w:w="108" w:type="dxa"/>
            <w:bottom w:w="0" w:type="dxa"/>
            <w:right w:w="108" w:type="dxa"/>
          </w:tblCellMar>
        </w:tblPrEx>
        <w:trPr>
          <w:trHeight w:val="753"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1.1.3</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法定节假日补贴（元/年·人）</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全年节假日按11天计算，150元/天，即1650元/人/年，（榕政办【2008】125号）</w:t>
            </w:r>
          </w:p>
        </w:tc>
      </w:tr>
      <w:tr>
        <w:tblPrEx>
          <w:tblCellMar>
            <w:top w:w="0" w:type="dxa"/>
            <w:left w:w="108" w:type="dxa"/>
            <w:bottom w:w="0" w:type="dxa"/>
            <w:right w:w="108" w:type="dxa"/>
          </w:tblCellMar>
        </w:tblPrEx>
        <w:trPr>
          <w:trHeight w:val="753"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1.1.4</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年终奖</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一个月工资2236元，参考2014年《福州市道路保洁清扫经费定额》</w:t>
            </w:r>
          </w:p>
        </w:tc>
      </w:tr>
      <w:tr>
        <w:tblPrEx>
          <w:tblCellMar>
            <w:top w:w="0" w:type="dxa"/>
            <w:left w:w="108" w:type="dxa"/>
            <w:bottom w:w="0" w:type="dxa"/>
            <w:right w:w="108" w:type="dxa"/>
          </w:tblCellMar>
        </w:tblPrEx>
        <w:trPr>
          <w:trHeight w:val="3617"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五险一金（元/年·人）</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州市道路清扫保洁经费定额》、《关于调整2021年职工医疗保险缴费上下限基数的通知》、《福州住房公积金管委会发布调整2021年度住房公积金缴存基数的通知》、《福建省人力资源和社会保障厅关于公布我省最低工资标准的通知》、《福建省人力资源和社会保障厅 福建省财政厅 国家税务总局福建省税务局关于无雇工个体工商户和灵活就业人员补缴2020年度养老保险费适用缴费基数的通知》、《住房公积金管理条例》</w:t>
            </w:r>
          </w:p>
        </w:tc>
      </w:tr>
      <w:tr>
        <w:tblPrEx>
          <w:tblCellMar>
            <w:top w:w="0" w:type="dxa"/>
            <w:left w:w="108" w:type="dxa"/>
            <w:bottom w:w="0" w:type="dxa"/>
            <w:right w:w="108" w:type="dxa"/>
          </w:tblCellMar>
        </w:tblPrEx>
        <w:trPr>
          <w:trHeight w:val="753"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人身意外险（元/年·人）</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参照道路保洁市场化标准，意外险100元/年·人；每人年经费100元。</w:t>
            </w:r>
          </w:p>
        </w:tc>
      </w:tr>
      <w:tr>
        <w:tblPrEx>
          <w:tblCellMar>
            <w:top w:w="0" w:type="dxa"/>
            <w:left w:w="108" w:type="dxa"/>
            <w:bottom w:w="0" w:type="dxa"/>
            <w:right w:w="108" w:type="dxa"/>
          </w:tblCellMar>
        </w:tblPrEx>
        <w:trPr>
          <w:trHeight w:val="391"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1.4</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体检费</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一年一次，按照300元/年/人标准执行</w:t>
            </w:r>
          </w:p>
        </w:tc>
      </w:tr>
      <w:tr>
        <w:tblPrEx>
          <w:tblCellMar>
            <w:top w:w="0" w:type="dxa"/>
            <w:left w:w="108" w:type="dxa"/>
            <w:bottom w:w="0" w:type="dxa"/>
            <w:right w:w="108" w:type="dxa"/>
          </w:tblCellMar>
        </w:tblPrEx>
        <w:trPr>
          <w:trHeight w:val="391"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劳保费（元/年·人）</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劳保用品包含工作服4套。手套12双。</w:t>
            </w:r>
          </w:p>
        </w:tc>
      </w:tr>
      <w:tr>
        <w:tblPrEx>
          <w:tblCellMar>
            <w:top w:w="0" w:type="dxa"/>
            <w:left w:w="108" w:type="dxa"/>
            <w:bottom w:w="0" w:type="dxa"/>
            <w:right w:w="108" w:type="dxa"/>
          </w:tblCellMar>
        </w:tblPrEx>
        <w:trPr>
          <w:trHeight w:val="391"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2</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作业耗材经费</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753"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2.1</w:t>
            </w:r>
          </w:p>
        </w:tc>
        <w:tc>
          <w:tcPr>
            <w:tcW w:w="2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水电费</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trike/>
                <w:color w:val="auto"/>
                <w:sz w:val="24"/>
                <w:highlight w:val="none"/>
              </w:rPr>
            </w:pPr>
          </w:p>
        </w:tc>
      </w:tr>
      <w:tr>
        <w:tblPrEx>
          <w:tblCellMar>
            <w:top w:w="0" w:type="dxa"/>
            <w:left w:w="108" w:type="dxa"/>
            <w:bottom w:w="0" w:type="dxa"/>
            <w:right w:w="108" w:type="dxa"/>
          </w:tblCellMar>
        </w:tblPrEx>
        <w:trPr>
          <w:trHeight w:val="1113"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2.2</w:t>
            </w:r>
          </w:p>
        </w:tc>
        <w:tc>
          <w:tcPr>
            <w:tcW w:w="2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清渣维修费</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维修范围包括LED显示屏（有人，无人）、水龙头、灯具、控制器、蹲位感应器面板、开关、洗手液盒、纸巾盒等</w:t>
            </w:r>
          </w:p>
        </w:tc>
      </w:tr>
      <w:tr>
        <w:tblPrEx>
          <w:tblCellMar>
            <w:top w:w="0" w:type="dxa"/>
            <w:left w:w="108" w:type="dxa"/>
            <w:bottom w:w="0" w:type="dxa"/>
            <w:right w:w="108" w:type="dxa"/>
          </w:tblCellMar>
        </w:tblPrEx>
        <w:trPr>
          <w:trHeight w:val="753"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2.3</w:t>
            </w:r>
          </w:p>
        </w:tc>
        <w:tc>
          <w:tcPr>
            <w:tcW w:w="2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工具及消杀费</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工具：喷壶、扫把、拖把、拖把桶、抹布、巴氏消毒液等</w:t>
            </w:r>
          </w:p>
        </w:tc>
      </w:tr>
      <w:tr>
        <w:tblPrEx>
          <w:tblCellMar>
            <w:top w:w="0" w:type="dxa"/>
            <w:left w:w="108" w:type="dxa"/>
            <w:bottom w:w="0" w:type="dxa"/>
            <w:right w:w="108" w:type="dxa"/>
          </w:tblCellMar>
        </w:tblPrEx>
        <w:trPr>
          <w:trHeight w:val="391"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2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卷纸</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根据实地调查每天平均使用卷纸3卷</w:t>
            </w:r>
          </w:p>
        </w:tc>
      </w:tr>
      <w:tr>
        <w:tblPrEx>
          <w:tblCellMar>
            <w:top w:w="0" w:type="dxa"/>
            <w:left w:w="108" w:type="dxa"/>
            <w:bottom w:w="0" w:type="dxa"/>
            <w:right w:w="108" w:type="dxa"/>
          </w:tblCellMar>
        </w:tblPrEx>
        <w:trPr>
          <w:trHeight w:val="391"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2.5</w:t>
            </w:r>
          </w:p>
        </w:tc>
        <w:tc>
          <w:tcPr>
            <w:tcW w:w="2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洗手液</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每天平均使用洗手液1.5斤</w:t>
            </w:r>
          </w:p>
        </w:tc>
      </w:tr>
      <w:tr>
        <w:tblPrEx>
          <w:tblCellMar>
            <w:top w:w="0" w:type="dxa"/>
            <w:left w:w="108" w:type="dxa"/>
            <w:bottom w:w="0" w:type="dxa"/>
            <w:right w:w="108" w:type="dxa"/>
          </w:tblCellMar>
        </w:tblPrEx>
        <w:trPr>
          <w:trHeight w:val="753"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2.6</w:t>
            </w:r>
          </w:p>
        </w:tc>
        <w:tc>
          <w:tcPr>
            <w:tcW w:w="2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除臭耗材</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配备小便斗除臭片、空气清新片、管道去污除臭水、空气清新剂等</w:t>
            </w:r>
          </w:p>
        </w:tc>
      </w:tr>
      <w:tr>
        <w:tblPrEx>
          <w:tblCellMar>
            <w:top w:w="0" w:type="dxa"/>
            <w:left w:w="108" w:type="dxa"/>
            <w:bottom w:w="0" w:type="dxa"/>
            <w:right w:w="108" w:type="dxa"/>
          </w:tblCellMar>
        </w:tblPrEx>
        <w:trPr>
          <w:trHeight w:val="391"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2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企业管理费</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（第1项+第2项）*费率，含雇主责任险。</w:t>
            </w:r>
          </w:p>
        </w:tc>
      </w:tr>
      <w:tr>
        <w:tblPrEx>
          <w:tblCellMar>
            <w:top w:w="0" w:type="dxa"/>
            <w:left w:w="108" w:type="dxa"/>
            <w:bottom w:w="0" w:type="dxa"/>
            <w:right w:w="108" w:type="dxa"/>
          </w:tblCellMar>
        </w:tblPrEx>
        <w:trPr>
          <w:trHeight w:val="391"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2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企业利润</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（第1项+第2项+第3项）*费率</w:t>
            </w:r>
          </w:p>
        </w:tc>
      </w:tr>
      <w:tr>
        <w:tblPrEx>
          <w:tblCellMar>
            <w:top w:w="0" w:type="dxa"/>
            <w:left w:w="108" w:type="dxa"/>
            <w:bottom w:w="0" w:type="dxa"/>
            <w:right w:w="108" w:type="dxa"/>
          </w:tblCellMar>
        </w:tblPrEx>
        <w:trPr>
          <w:trHeight w:val="391"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2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企业税金</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（第1项+第2项+第3项+第4项）*费率，</w:t>
            </w:r>
          </w:p>
        </w:tc>
      </w:tr>
      <w:tr>
        <w:tblPrEx>
          <w:tblCellMar>
            <w:top w:w="0" w:type="dxa"/>
            <w:left w:w="108" w:type="dxa"/>
            <w:bottom w:w="0" w:type="dxa"/>
            <w:right w:w="108" w:type="dxa"/>
          </w:tblCellMar>
        </w:tblPrEx>
        <w:trPr>
          <w:trHeight w:val="424" w:hRule="atLeast"/>
          <w:jc w:val="center"/>
        </w:trPr>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4"/>
                <w:highlight w:val="none"/>
              </w:rPr>
            </w:pPr>
            <w:r>
              <w:rPr>
                <w:rFonts w:hint="eastAsia" w:ascii="宋体" w:hAnsi="宋体" w:eastAsia="宋体" w:cs="宋体"/>
                <w:color w:val="auto"/>
                <w:sz w:val="24"/>
                <w:highlight w:val="none"/>
              </w:rPr>
              <w:t>合计</w:t>
            </w:r>
          </w:p>
        </w:tc>
        <w:tc>
          <w:tcPr>
            <w:tcW w:w="4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第1项+第2项+第3项+第4项+第5项</w:t>
            </w:r>
          </w:p>
        </w:tc>
      </w:tr>
    </w:tbl>
    <w:p>
      <w:pPr>
        <w:pStyle w:val="14"/>
        <w:widowControl/>
        <w:numPr>
          <w:ilvl w:val="0"/>
          <w:numId w:val="1"/>
        </w:numPr>
        <w:spacing w:line="312" w:lineRule="auto"/>
        <w:rPr>
          <w:rStyle w:val="20"/>
          <w:rFonts w:ascii="宋体" w:hAnsi="宋体" w:eastAsia="宋体" w:cs="宋体"/>
          <w:bCs/>
          <w:color w:val="auto"/>
          <w:highlight w:val="none"/>
        </w:rPr>
      </w:pPr>
      <w:r>
        <w:rPr>
          <w:rStyle w:val="20"/>
          <w:rFonts w:hint="eastAsia" w:ascii="宋体" w:hAnsi="宋体" w:eastAsia="宋体" w:cs="宋体"/>
          <w:bCs/>
          <w:color w:val="auto"/>
          <w:highlight w:val="none"/>
        </w:rPr>
        <w:t>污水抽吸转运服务费组成</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4座转运站产生的污水（生活垃圾压缩渗沥液、冲洗转运站污水）、闽江沿线7座公厕污水需由吸粪车转运至洋里污水处理厂。每吨污水抽吸转运运行经费根据每日抽吸转运量及运距表、收集运输、人员配置匡算费用的组成，具体如下：</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xml:space="preserve"> 表1：包1（东部）：5座公厕及2座转运站污水每日抽吸转运量及运距表</w:t>
      </w:r>
    </w:p>
    <w:tbl>
      <w:tblPr>
        <w:tblStyle w:val="18"/>
        <w:tblW w:w="8378" w:type="dxa"/>
        <w:jc w:val="center"/>
        <w:tblLayout w:type="fixed"/>
        <w:tblCellMar>
          <w:top w:w="0" w:type="dxa"/>
          <w:left w:w="108" w:type="dxa"/>
          <w:bottom w:w="0" w:type="dxa"/>
          <w:right w:w="108" w:type="dxa"/>
        </w:tblCellMar>
      </w:tblPr>
      <w:tblGrid>
        <w:gridCol w:w="1039"/>
        <w:gridCol w:w="2148"/>
        <w:gridCol w:w="1365"/>
        <w:gridCol w:w="1840"/>
        <w:gridCol w:w="1986"/>
      </w:tblGrid>
      <w:tr>
        <w:tblPrEx>
          <w:tblCellMar>
            <w:top w:w="0" w:type="dxa"/>
            <w:left w:w="108" w:type="dxa"/>
            <w:bottom w:w="0" w:type="dxa"/>
            <w:right w:w="108" w:type="dxa"/>
          </w:tblCellMar>
        </w:tblPrEx>
        <w:trPr>
          <w:trHeight w:val="632" w:hRule="atLeast"/>
          <w:jc w:val="center"/>
        </w:trPr>
        <w:tc>
          <w:tcPr>
            <w:tcW w:w="1039"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2148"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名称</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公厕污水产生量</w:t>
            </w:r>
          </w:p>
        </w:tc>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至洋里污水处理厂运距</w:t>
            </w:r>
          </w:p>
        </w:tc>
        <w:tc>
          <w:tcPr>
            <w:tcW w:w="198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备注</w:t>
            </w:r>
          </w:p>
        </w:tc>
      </w:tr>
      <w:tr>
        <w:tblPrEx>
          <w:tblCellMar>
            <w:top w:w="0" w:type="dxa"/>
            <w:left w:w="108" w:type="dxa"/>
            <w:bottom w:w="0" w:type="dxa"/>
            <w:right w:w="108" w:type="dxa"/>
          </w:tblCellMar>
        </w:tblPrEx>
        <w:trPr>
          <w:trHeight w:val="465" w:hRule="atLeast"/>
          <w:jc w:val="center"/>
        </w:trPr>
        <w:tc>
          <w:tcPr>
            <w:tcW w:w="103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p>
        </w:tc>
        <w:tc>
          <w:tcPr>
            <w:tcW w:w="214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（吨/日）</w:t>
            </w:r>
          </w:p>
        </w:tc>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（公里）</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65" w:hRule="atLeast"/>
          <w:jc w:val="center"/>
        </w:trPr>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2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鳌峰（一）转运站</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w:t>
            </w:r>
          </w:p>
        </w:tc>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6.8</w:t>
            </w:r>
          </w:p>
        </w:tc>
        <w:tc>
          <w:tcPr>
            <w:tcW w:w="19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转运站排放的污水量包括两部分，一部分是生活垃圾压缩产生的渗沥液，另一部分是作业区域内地面冲洗污水。</w:t>
            </w:r>
          </w:p>
        </w:tc>
      </w:tr>
      <w:tr>
        <w:tblPrEx>
          <w:tblCellMar>
            <w:top w:w="0" w:type="dxa"/>
            <w:left w:w="108" w:type="dxa"/>
            <w:bottom w:w="0" w:type="dxa"/>
            <w:right w:w="108" w:type="dxa"/>
          </w:tblCellMar>
        </w:tblPrEx>
        <w:trPr>
          <w:trHeight w:val="465" w:hRule="atLeast"/>
          <w:jc w:val="center"/>
        </w:trPr>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2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鳌峰（二）转运站</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8</w:t>
            </w:r>
          </w:p>
        </w:tc>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3.9</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65" w:hRule="atLeast"/>
          <w:jc w:val="center"/>
        </w:trPr>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2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三桥公厕</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w:t>
            </w:r>
          </w:p>
        </w:tc>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5.2</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65" w:hRule="atLeast"/>
          <w:jc w:val="center"/>
        </w:trPr>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w:t>
            </w:r>
          </w:p>
        </w:tc>
        <w:tc>
          <w:tcPr>
            <w:tcW w:w="2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鳌峰洲公寓公厕</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w:t>
            </w:r>
          </w:p>
        </w:tc>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5.5</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65" w:hRule="atLeast"/>
          <w:jc w:val="center"/>
        </w:trPr>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w:t>
            </w:r>
          </w:p>
        </w:tc>
        <w:tc>
          <w:tcPr>
            <w:tcW w:w="2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君临闽江</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w:t>
            </w:r>
          </w:p>
        </w:tc>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589" w:hRule="atLeast"/>
          <w:jc w:val="center"/>
        </w:trPr>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w:t>
            </w:r>
          </w:p>
        </w:tc>
        <w:tc>
          <w:tcPr>
            <w:tcW w:w="2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闽江公园（三）公厕</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8</w:t>
            </w:r>
          </w:p>
        </w:tc>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6.3</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65" w:hRule="atLeast"/>
          <w:jc w:val="center"/>
        </w:trPr>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7</w:t>
            </w:r>
          </w:p>
        </w:tc>
        <w:tc>
          <w:tcPr>
            <w:tcW w:w="2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苍霞公园</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w:t>
            </w:r>
          </w:p>
        </w:tc>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8</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83" w:hRule="atLeast"/>
          <w:jc w:val="center"/>
        </w:trPr>
        <w:tc>
          <w:tcPr>
            <w:tcW w:w="318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小计　</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40</w:t>
            </w:r>
          </w:p>
        </w:tc>
        <w:tc>
          <w:tcPr>
            <w:tcW w:w="1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41.7</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highlight w:val="none"/>
              </w:rPr>
            </w:pPr>
          </w:p>
        </w:tc>
      </w:tr>
    </w:tbl>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表2：包2（西部）：2座公厕及2座转运站污水每日抽吸转运量及运距表</w:t>
      </w:r>
    </w:p>
    <w:tbl>
      <w:tblPr>
        <w:tblStyle w:val="18"/>
        <w:tblW w:w="8418" w:type="dxa"/>
        <w:jc w:val="center"/>
        <w:tblLayout w:type="fixed"/>
        <w:tblCellMar>
          <w:top w:w="0" w:type="dxa"/>
          <w:left w:w="108" w:type="dxa"/>
          <w:bottom w:w="0" w:type="dxa"/>
          <w:right w:w="108" w:type="dxa"/>
        </w:tblCellMar>
      </w:tblPr>
      <w:tblGrid>
        <w:gridCol w:w="763"/>
        <w:gridCol w:w="2266"/>
        <w:gridCol w:w="1676"/>
        <w:gridCol w:w="1628"/>
        <w:gridCol w:w="2085"/>
      </w:tblGrid>
      <w:tr>
        <w:tblPrEx>
          <w:tblCellMar>
            <w:top w:w="0" w:type="dxa"/>
            <w:left w:w="108" w:type="dxa"/>
            <w:bottom w:w="0" w:type="dxa"/>
            <w:right w:w="108" w:type="dxa"/>
          </w:tblCellMar>
        </w:tblPrEx>
        <w:trPr>
          <w:trHeight w:val="630" w:hRule="atLeast"/>
          <w:jc w:val="center"/>
        </w:trPr>
        <w:tc>
          <w:tcPr>
            <w:tcW w:w="7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22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名称</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冲洗垃圾桶污水产生量</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至洋里污水处理厂运距</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备注</w:t>
            </w:r>
          </w:p>
        </w:tc>
      </w:tr>
      <w:tr>
        <w:tblPrEx>
          <w:tblCellMar>
            <w:top w:w="0" w:type="dxa"/>
            <w:left w:w="108" w:type="dxa"/>
            <w:bottom w:w="0" w:type="dxa"/>
            <w:right w:w="108" w:type="dxa"/>
          </w:tblCellMar>
        </w:tblPrEx>
        <w:trPr>
          <w:trHeight w:val="434"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highlight w:val="none"/>
              </w:rPr>
            </w:pPr>
          </w:p>
        </w:tc>
        <w:tc>
          <w:tcPr>
            <w:tcW w:w="2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highlight w:val="none"/>
              </w:rPr>
            </w:pPr>
          </w:p>
        </w:tc>
        <w:tc>
          <w:tcPr>
            <w:tcW w:w="167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（吨/日）</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（公里）</w:t>
            </w:r>
          </w:p>
        </w:tc>
        <w:tc>
          <w:tcPr>
            <w:tcW w:w="2085"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转运站排放的污水量包括两部分，一部分是生活垃圾压缩产生的渗沥液，另一部分是作业区域内地面冲洗污水。</w:t>
            </w:r>
          </w:p>
        </w:tc>
      </w:tr>
      <w:tr>
        <w:tblPrEx>
          <w:tblCellMar>
            <w:top w:w="0" w:type="dxa"/>
            <w:left w:w="108" w:type="dxa"/>
            <w:bottom w:w="0" w:type="dxa"/>
            <w:right w:w="108" w:type="dxa"/>
          </w:tblCellMar>
        </w:tblPrEx>
        <w:trPr>
          <w:trHeight w:val="434"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22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白马转运站</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17</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11.3</w:t>
            </w:r>
          </w:p>
        </w:tc>
        <w:tc>
          <w:tcPr>
            <w:tcW w:w="2085"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34"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22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同德转运站</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12</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9.6</w:t>
            </w:r>
          </w:p>
        </w:tc>
        <w:tc>
          <w:tcPr>
            <w:tcW w:w="2085"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34"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22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闽水园</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8.6</w:t>
            </w:r>
          </w:p>
        </w:tc>
        <w:tc>
          <w:tcPr>
            <w:tcW w:w="2085"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394" w:hRule="atLeast"/>
          <w:jc w:val="center"/>
        </w:trPr>
        <w:tc>
          <w:tcPr>
            <w:tcW w:w="763"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w:t>
            </w:r>
          </w:p>
        </w:tc>
        <w:tc>
          <w:tcPr>
            <w:tcW w:w="226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金沙园</w:t>
            </w:r>
          </w:p>
        </w:tc>
        <w:tc>
          <w:tcPr>
            <w:tcW w:w="1676"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10</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12</w:t>
            </w:r>
          </w:p>
        </w:tc>
        <w:tc>
          <w:tcPr>
            <w:tcW w:w="2085"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 w:val="24"/>
                <w:highlight w:val="none"/>
              </w:rPr>
            </w:pPr>
          </w:p>
        </w:tc>
      </w:tr>
      <w:tr>
        <w:tblPrEx>
          <w:tblCellMar>
            <w:top w:w="0" w:type="dxa"/>
            <w:left w:w="108" w:type="dxa"/>
            <w:bottom w:w="0" w:type="dxa"/>
            <w:right w:w="108" w:type="dxa"/>
          </w:tblCellMar>
        </w:tblPrEx>
        <w:trPr>
          <w:trHeight w:val="459" w:hRule="atLeast"/>
          <w:jc w:val="center"/>
        </w:trPr>
        <w:tc>
          <w:tcPr>
            <w:tcW w:w="30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小计</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43</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41.5</w:t>
            </w:r>
          </w:p>
        </w:tc>
        <w:tc>
          <w:tcPr>
            <w:tcW w:w="208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highlight w:val="none"/>
              </w:rPr>
            </w:pPr>
          </w:p>
        </w:tc>
      </w:tr>
    </w:tbl>
    <w:p>
      <w:pPr>
        <w:rPr>
          <w:rFonts w:ascii="宋体" w:hAnsi="宋体" w:eastAsia="宋体" w:cs="宋体"/>
          <w:color w:val="auto"/>
          <w:kern w:val="0"/>
          <w:sz w:val="24"/>
          <w:highlight w:val="none"/>
        </w:rPr>
      </w:pPr>
    </w:p>
    <w:p>
      <w:pP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2、收集运输</w:t>
      </w:r>
    </w:p>
    <w:p>
      <w:pP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2.1吸粪车配置</w:t>
      </w:r>
    </w:p>
    <w:p>
      <w:pPr>
        <w:spacing w:line="360" w:lineRule="auto"/>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表3     吸粪车规划配置一览表</w:t>
      </w:r>
    </w:p>
    <w:tbl>
      <w:tblPr>
        <w:tblStyle w:val="18"/>
        <w:tblW w:w="85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186"/>
        <w:gridCol w:w="1485"/>
        <w:gridCol w:w="1340"/>
        <w:gridCol w:w="966"/>
        <w:gridCol w:w="1747"/>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7" w:hRule="atLeast"/>
          <w:jc w:val="center"/>
        </w:trPr>
        <w:tc>
          <w:tcPr>
            <w:tcW w:w="2186" w:type="dxa"/>
            <w:vAlign w:val="center"/>
          </w:tcPr>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区域</w:t>
            </w:r>
          </w:p>
        </w:tc>
        <w:tc>
          <w:tcPr>
            <w:tcW w:w="1485" w:type="dxa"/>
            <w:vAlign w:val="center"/>
          </w:tcPr>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渗沥液量</w:t>
            </w:r>
          </w:p>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（吨/天）</w:t>
            </w:r>
          </w:p>
        </w:tc>
        <w:tc>
          <w:tcPr>
            <w:tcW w:w="1340" w:type="dxa"/>
            <w:vAlign w:val="center"/>
          </w:tcPr>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平均运距</w:t>
            </w:r>
          </w:p>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（公里)</w:t>
            </w:r>
          </w:p>
        </w:tc>
        <w:tc>
          <w:tcPr>
            <w:tcW w:w="966" w:type="dxa"/>
            <w:vAlign w:val="center"/>
          </w:tcPr>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车次</w:t>
            </w:r>
          </w:p>
        </w:tc>
        <w:tc>
          <w:tcPr>
            <w:tcW w:w="1747" w:type="dxa"/>
            <w:vAlign w:val="center"/>
          </w:tcPr>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单次收运时间（小时）</w:t>
            </w:r>
          </w:p>
        </w:tc>
        <w:tc>
          <w:tcPr>
            <w:tcW w:w="853" w:type="dxa"/>
            <w:vAlign w:val="center"/>
          </w:tcPr>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车辆数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7" w:hRule="atLeast"/>
          <w:jc w:val="center"/>
        </w:trPr>
        <w:tc>
          <w:tcPr>
            <w:tcW w:w="2186" w:type="dxa"/>
            <w:vAlign w:val="center"/>
          </w:tcPr>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包1（东部）：5座公厕及2座转运站</w:t>
            </w:r>
          </w:p>
        </w:tc>
        <w:tc>
          <w:tcPr>
            <w:tcW w:w="1485" w:type="dxa"/>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40</w:t>
            </w:r>
          </w:p>
        </w:tc>
        <w:tc>
          <w:tcPr>
            <w:tcW w:w="1340" w:type="dxa"/>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5.95</w:t>
            </w:r>
          </w:p>
        </w:tc>
        <w:tc>
          <w:tcPr>
            <w:tcW w:w="966" w:type="dxa"/>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8</w:t>
            </w:r>
          </w:p>
        </w:tc>
        <w:tc>
          <w:tcPr>
            <w:tcW w:w="1747" w:type="dxa"/>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1.8</w:t>
            </w:r>
          </w:p>
        </w:tc>
        <w:tc>
          <w:tcPr>
            <w:tcW w:w="853" w:type="dxa"/>
            <w:vAlign w:val="center"/>
          </w:tcPr>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5" w:hRule="atLeast"/>
          <w:jc w:val="center"/>
        </w:trPr>
        <w:tc>
          <w:tcPr>
            <w:tcW w:w="2186" w:type="dxa"/>
            <w:vAlign w:val="center"/>
          </w:tcPr>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包2（西部）：2座公厕及2座转运站</w:t>
            </w:r>
          </w:p>
        </w:tc>
        <w:tc>
          <w:tcPr>
            <w:tcW w:w="1485" w:type="dxa"/>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43</w:t>
            </w:r>
          </w:p>
        </w:tc>
        <w:tc>
          <w:tcPr>
            <w:tcW w:w="1340" w:type="dxa"/>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10.38</w:t>
            </w:r>
          </w:p>
        </w:tc>
        <w:tc>
          <w:tcPr>
            <w:tcW w:w="966" w:type="dxa"/>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9</w:t>
            </w:r>
          </w:p>
        </w:tc>
        <w:tc>
          <w:tcPr>
            <w:tcW w:w="1747" w:type="dxa"/>
            <w:vAlign w:val="center"/>
          </w:tcPr>
          <w:p>
            <w:pPr>
              <w:widowControl/>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1.8</w:t>
            </w:r>
          </w:p>
        </w:tc>
        <w:tc>
          <w:tcPr>
            <w:tcW w:w="853" w:type="dxa"/>
            <w:vAlign w:val="center"/>
          </w:tcPr>
          <w:p>
            <w:pPr>
              <w:widowControl/>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r>
    </w:tbl>
    <w:p>
      <w:pPr>
        <w:spacing w:line="360" w:lineRule="auto"/>
        <w:ind w:firstLine="482" w:firstLineChars="200"/>
        <w:rPr>
          <w:rFonts w:ascii="宋体" w:hAnsi="宋体" w:eastAsia="宋体" w:cs="宋体"/>
          <w:b/>
          <w:bCs w:val="0"/>
          <w:color w:val="auto"/>
          <w:kern w:val="0"/>
          <w:sz w:val="24"/>
          <w:highlight w:val="none"/>
        </w:rPr>
      </w:pPr>
      <w:r>
        <w:rPr>
          <w:rFonts w:hint="eastAsia" w:ascii="宋体" w:hAnsi="宋体" w:eastAsia="宋体" w:cs="宋体"/>
          <w:b/>
          <w:bCs w:val="0"/>
          <w:color w:val="auto"/>
          <w:kern w:val="0"/>
          <w:sz w:val="24"/>
          <w:highlight w:val="none"/>
        </w:rPr>
        <w:t>注：本项目所配置吸粪车，以上车辆数量</w:t>
      </w:r>
      <w:r>
        <w:rPr>
          <w:rFonts w:hint="eastAsia" w:ascii="宋体" w:hAnsi="宋体" w:eastAsia="宋体" w:cs="宋体"/>
          <w:b/>
          <w:bCs w:val="0"/>
          <w:color w:val="auto"/>
          <w:kern w:val="0"/>
          <w:sz w:val="24"/>
          <w:highlight w:val="none"/>
          <w:lang w:val="en-US" w:eastAsia="zh-CN"/>
        </w:rPr>
        <w:t>为</w:t>
      </w:r>
      <w:r>
        <w:rPr>
          <w:rFonts w:hint="eastAsia" w:ascii="宋体" w:hAnsi="宋体" w:eastAsia="宋体" w:cs="宋体"/>
          <w:b/>
          <w:bCs w:val="0"/>
          <w:color w:val="auto"/>
          <w:kern w:val="0"/>
          <w:sz w:val="24"/>
          <w:highlight w:val="none"/>
        </w:rPr>
        <w:t>现有服务范围内的最低车辆配备要求，实际运营中可根据现场情况调整车辆数量及类型。</w:t>
      </w: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2.2吸粪车耗油量</w:t>
      </w:r>
    </w:p>
    <w:p>
      <w:pPr>
        <w:spacing w:line="360" w:lineRule="auto"/>
        <w:ind w:firstLine="480" w:firstLineChars="200"/>
        <w:rPr>
          <w:rFonts w:ascii="宋体" w:hAnsi="宋体" w:eastAsia="宋体" w:cs="宋体"/>
          <w:strike/>
          <w:color w:val="auto"/>
          <w:kern w:val="0"/>
          <w:sz w:val="24"/>
          <w:highlight w:val="none"/>
        </w:rPr>
      </w:pPr>
      <w:r>
        <w:rPr>
          <w:rFonts w:hint="eastAsia" w:ascii="宋体" w:hAnsi="宋体" w:eastAsia="宋体" w:cs="宋体"/>
          <w:color w:val="auto"/>
          <w:kern w:val="0"/>
          <w:sz w:val="24"/>
          <w:highlight w:val="none"/>
        </w:rPr>
        <w:t>根据《福州市生活垃圾转运站渗沥液收集处理过渡期方案》，规划采用的5吨吸粪车考虑采用柴油发动机，平均每公里0.35升（按同类型压缩式垃圾车的油耗数据平均值，进行测算）。根据包1（东部）：5座公厕及2座转运站至洋里污水处理厂的总运距为41.7公里</w:t>
      </w:r>
      <w:r>
        <w:rPr>
          <w:rFonts w:hint="eastAsia"/>
          <w:color w:val="auto"/>
          <w:highlight w:val="none"/>
        </w:rPr>
        <w:t>；</w:t>
      </w:r>
      <w:r>
        <w:rPr>
          <w:rFonts w:hint="eastAsia" w:ascii="宋体" w:hAnsi="宋体" w:eastAsia="宋体" w:cs="宋体"/>
          <w:color w:val="auto"/>
          <w:kern w:val="0"/>
          <w:sz w:val="24"/>
          <w:highlight w:val="none"/>
        </w:rPr>
        <w:t>包2（西部）：2座公厕及2座转运站至洋里污水处理厂的总运距为41.5公里。</w:t>
      </w:r>
    </w:p>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2.3人员配置</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根据《福州市生活垃圾转运站渗沥液收集处理过渡期方案》中车辆总数为20辆配吸粪车驾驶员28人的比例，即1辆车配1.4人，本项目所需吸粪车为4辆，按此比例计算出吸粪车驾驶员为6人，为保证作业安全及效率，每班次配备1名驾驶员，1名辅助工，按此比例计算出辅助工为6人，本项目人员配置如下：</w:t>
      </w:r>
    </w:p>
    <w:p>
      <w:pPr>
        <w:spacing w:line="360" w:lineRule="auto"/>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表4    人员配置明细表</w:t>
      </w:r>
    </w:p>
    <w:tbl>
      <w:tblPr>
        <w:tblStyle w:val="18"/>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45"/>
        <w:gridCol w:w="1941"/>
        <w:gridCol w:w="3420"/>
        <w:gridCol w:w="2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245"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1941"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项目</w:t>
            </w:r>
          </w:p>
        </w:tc>
        <w:tc>
          <w:tcPr>
            <w:tcW w:w="3420"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人员岗位</w:t>
            </w:r>
          </w:p>
        </w:tc>
        <w:tc>
          <w:tcPr>
            <w:tcW w:w="2434"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定员（人）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245"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1941"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包1（东部）</w:t>
            </w:r>
          </w:p>
        </w:tc>
        <w:tc>
          <w:tcPr>
            <w:tcW w:w="3420"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吸粪车驾驶员/辅助工</w:t>
            </w:r>
          </w:p>
        </w:tc>
        <w:tc>
          <w:tcPr>
            <w:tcW w:w="2434"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各3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245"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1941"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包2（西部）</w:t>
            </w:r>
          </w:p>
        </w:tc>
        <w:tc>
          <w:tcPr>
            <w:tcW w:w="3420"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吸粪车驾驶员/辅助工</w:t>
            </w:r>
          </w:p>
        </w:tc>
        <w:tc>
          <w:tcPr>
            <w:tcW w:w="2434"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各3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245"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1941"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合计（人）</w:t>
            </w:r>
          </w:p>
        </w:tc>
        <w:tc>
          <w:tcPr>
            <w:tcW w:w="3420" w:type="dxa"/>
            <w:vAlign w:val="center"/>
          </w:tcPr>
          <w:p>
            <w:pPr>
              <w:widowControl/>
              <w:spacing w:line="360" w:lineRule="auto"/>
              <w:jc w:val="center"/>
              <w:textAlignment w:val="center"/>
              <w:rPr>
                <w:rFonts w:ascii="宋体" w:hAnsi="宋体" w:eastAsia="宋体" w:cs="宋体"/>
                <w:color w:val="auto"/>
                <w:kern w:val="0"/>
                <w:sz w:val="24"/>
                <w:highlight w:val="none"/>
              </w:rPr>
            </w:pPr>
          </w:p>
        </w:tc>
        <w:tc>
          <w:tcPr>
            <w:tcW w:w="2434" w:type="dxa"/>
            <w:vAlign w:val="center"/>
          </w:tcPr>
          <w:p>
            <w:pPr>
              <w:widowControl/>
              <w:spacing w:line="360" w:lineRule="auto"/>
              <w:jc w:val="center"/>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12</w:t>
            </w:r>
          </w:p>
        </w:tc>
      </w:tr>
    </w:tbl>
    <w:p>
      <w:pPr>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3、运行经费匡算</w:t>
      </w:r>
      <w:r>
        <w:rPr>
          <w:rFonts w:hint="eastAsia" w:ascii="宋体" w:hAnsi="宋体" w:eastAsia="宋体" w:cs="宋体"/>
          <w:color w:val="auto"/>
          <w:sz w:val="24"/>
          <w:highlight w:val="none"/>
        </w:rPr>
        <w:t>费用的组成</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包1（东部）：5座公厕污水及2座转运站污水收集转运运行费用。</w:t>
      </w:r>
    </w:p>
    <w:p>
      <w:pPr>
        <w:spacing w:line="360" w:lineRule="auto"/>
        <w:ind w:firstLine="480" w:firstLineChars="200"/>
        <w:rPr>
          <w:rFonts w:ascii="宋体" w:hAnsi="宋体" w:eastAsia="宋体" w:cs="宋体"/>
          <w:b/>
          <w:bCs/>
          <w:color w:val="auto"/>
          <w:sz w:val="24"/>
          <w:highlight w:val="none"/>
        </w:rPr>
      </w:pPr>
      <w:r>
        <w:rPr>
          <w:rFonts w:hint="eastAsia" w:ascii="宋体" w:hAnsi="宋体" w:eastAsia="宋体" w:cs="宋体"/>
          <w:color w:val="auto"/>
          <w:kern w:val="0"/>
          <w:sz w:val="24"/>
          <w:highlight w:val="none"/>
        </w:rPr>
        <w:t>包2（西部）：2座公厕污水及2座转运站污水收集转运运行费用。</w:t>
      </w:r>
    </w:p>
    <w:p>
      <w:pPr>
        <w:spacing w:line="360" w:lineRule="auto"/>
        <w:ind w:firstLine="482" w:firstLineChars="200"/>
        <w:rPr>
          <w:rFonts w:ascii="宋体" w:hAnsi="宋体" w:eastAsia="宋体" w:cs="宋体"/>
          <w:b/>
          <w:bCs w:val="0"/>
          <w:color w:val="auto"/>
          <w:kern w:val="0"/>
          <w:sz w:val="24"/>
          <w:highlight w:val="none"/>
        </w:rPr>
      </w:pPr>
      <w:r>
        <w:rPr>
          <w:rFonts w:hint="eastAsia" w:ascii="宋体" w:hAnsi="宋体" w:eastAsia="宋体" w:cs="宋体"/>
          <w:b/>
          <w:bCs w:val="0"/>
          <w:color w:val="auto"/>
          <w:kern w:val="0"/>
          <w:sz w:val="24"/>
          <w:highlight w:val="none"/>
        </w:rPr>
        <w:t>注：本项目所配置</w:t>
      </w:r>
      <w:r>
        <w:rPr>
          <w:rFonts w:hint="eastAsia" w:ascii="宋体" w:hAnsi="宋体" w:eastAsia="宋体" w:cs="宋体"/>
          <w:b/>
          <w:bCs w:val="0"/>
          <w:color w:val="auto"/>
          <w:kern w:val="0"/>
          <w:sz w:val="24"/>
          <w:highlight w:val="none"/>
          <w:lang w:val="en-US" w:eastAsia="zh-CN"/>
        </w:rPr>
        <w:t>人员</w:t>
      </w:r>
      <w:r>
        <w:rPr>
          <w:rFonts w:hint="eastAsia" w:ascii="宋体" w:hAnsi="宋体" w:eastAsia="宋体" w:cs="宋体"/>
          <w:b/>
          <w:bCs w:val="0"/>
          <w:color w:val="auto"/>
          <w:kern w:val="0"/>
          <w:sz w:val="24"/>
          <w:highlight w:val="none"/>
        </w:rPr>
        <w:t>，以上</w:t>
      </w:r>
      <w:r>
        <w:rPr>
          <w:rFonts w:hint="eastAsia" w:ascii="宋体" w:hAnsi="宋体" w:eastAsia="宋体" w:cs="宋体"/>
          <w:b/>
          <w:bCs w:val="0"/>
          <w:color w:val="auto"/>
          <w:kern w:val="0"/>
          <w:sz w:val="24"/>
          <w:highlight w:val="none"/>
          <w:lang w:val="en-US" w:eastAsia="zh-CN"/>
        </w:rPr>
        <w:t>人员</w:t>
      </w:r>
      <w:r>
        <w:rPr>
          <w:rFonts w:hint="eastAsia" w:ascii="宋体" w:hAnsi="宋体" w:eastAsia="宋体" w:cs="宋体"/>
          <w:b/>
          <w:bCs w:val="0"/>
          <w:color w:val="auto"/>
          <w:kern w:val="0"/>
          <w:sz w:val="24"/>
          <w:highlight w:val="none"/>
        </w:rPr>
        <w:t>数量为现有服务范围内的最低</w:t>
      </w:r>
      <w:r>
        <w:rPr>
          <w:rFonts w:hint="eastAsia" w:ascii="宋体" w:hAnsi="宋体" w:eastAsia="宋体" w:cs="宋体"/>
          <w:b/>
          <w:bCs w:val="0"/>
          <w:color w:val="auto"/>
          <w:kern w:val="0"/>
          <w:sz w:val="24"/>
          <w:highlight w:val="none"/>
          <w:lang w:val="en-US" w:eastAsia="zh-CN"/>
        </w:rPr>
        <w:t>人员</w:t>
      </w:r>
      <w:r>
        <w:rPr>
          <w:rFonts w:hint="eastAsia" w:ascii="宋体" w:hAnsi="宋体" w:eastAsia="宋体" w:cs="宋体"/>
          <w:b/>
          <w:bCs w:val="0"/>
          <w:color w:val="auto"/>
          <w:kern w:val="0"/>
          <w:sz w:val="24"/>
          <w:highlight w:val="none"/>
        </w:rPr>
        <w:t>配备要求，实际运营中可根据现场情况调整。</w:t>
      </w:r>
    </w:p>
    <w:p>
      <w:pPr>
        <w:pStyle w:val="14"/>
        <w:widowControl/>
        <w:spacing w:beforeAutospacing="0" w:after="150" w:afterAutospacing="0" w:line="525" w:lineRule="atLeast"/>
        <w:jc w:val="center"/>
        <w:rPr>
          <w:rFonts w:ascii="宋体" w:hAnsi="宋体" w:eastAsia="宋体" w:cs="宋体"/>
          <w:b/>
          <w:bCs/>
          <w:color w:val="auto"/>
          <w:highlight w:val="none"/>
        </w:rPr>
      </w:pPr>
      <w:r>
        <w:rPr>
          <w:rFonts w:hint="eastAsia" w:ascii="宋体" w:hAnsi="宋体" w:eastAsia="宋体" w:cs="宋体"/>
          <w:b/>
          <w:bCs/>
          <w:color w:val="auto"/>
          <w:highlight w:val="none"/>
        </w:rPr>
        <w:t>表5-1  包1东部：污水抽吸转运服务费费用组成</w:t>
      </w:r>
    </w:p>
    <w:tbl>
      <w:tblPr>
        <w:tblStyle w:val="18"/>
        <w:tblW w:w="8678" w:type="dxa"/>
        <w:tblInd w:w="93" w:type="dxa"/>
        <w:tblLayout w:type="fixed"/>
        <w:tblCellMar>
          <w:top w:w="0" w:type="dxa"/>
          <w:left w:w="108" w:type="dxa"/>
          <w:bottom w:w="0" w:type="dxa"/>
          <w:right w:w="108" w:type="dxa"/>
        </w:tblCellMar>
      </w:tblPr>
      <w:tblGrid>
        <w:gridCol w:w="827"/>
        <w:gridCol w:w="101"/>
        <w:gridCol w:w="1975"/>
        <w:gridCol w:w="13"/>
        <w:gridCol w:w="1452"/>
        <w:gridCol w:w="4310"/>
      </w:tblGrid>
      <w:tr>
        <w:tblPrEx>
          <w:tblCellMar>
            <w:top w:w="0" w:type="dxa"/>
            <w:left w:w="108" w:type="dxa"/>
            <w:bottom w:w="0" w:type="dxa"/>
            <w:right w:w="108" w:type="dxa"/>
          </w:tblCellMar>
        </w:tblPrEx>
        <w:trPr>
          <w:trHeight w:val="65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费用项目</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运行费用</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备注</w:t>
            </w:r>
          </w:p>
        </w:tc>
      </w:tr>
      <w:tr>
        <w:tblPrEx>
          <w:tblCellMar>
            <w:top w:w="0" w:type="dxa"/>
            <w:left w:w="108" w:type="dxa"/>
            <w:bottom w:w="0" w:type="dxa"/>
            <w:right w:w="108" w:type="dxa"/>
          </w:tblCellMar>
        </w:tblPrEx>
        <w:trPr>
          <w:trHeight w:val="458"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吸污车折旧费</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526"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停车费</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509"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车辆油费</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509"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车辆维修费、保养</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460"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车辆保险及年检费</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依据福州市道路清扫保洁定额</w:t>
            </w:r>
          </w:p>
        </w:tc>
      </w:tr>
      <w:tr>
        <w:tblPrEx>
          <w:tblCellMar>
            <w:top w:w="0" w:type="dxa"/>
            <w:left w:w="108" w:type="dxa"/>
            <w:bottom w:w="0" w:type="dxa"/>
            <w:right w:w="108" w:type="dxa"/>
          </w:tblCellMar>
        </w:tblPrEx>
        <w:trPr>
          <w:trHeight w:val="680"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6</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吸污车司机工资</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680"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辅助工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357"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以上合计</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460"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管理费</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依据福州市道路清扫保洁定额，含雇主责任险</w:t>
            </w:r>
          </w:p>
        </w:tc>
      </w:tr>
      <w:tr>
        <w:tblPrEx>
          <w:tblCellMar>
            <w:top w:w="0" w:type="dxa"/>
            <w:left w:w="108" w:type="dxa"/>
            <w:bottom w:w="0" w:type="dxa"/>
            <w:right w:w="108" w:type="dxa"/>
          </w:tblCellMar>
        </w:tblPrEx>
        <w:trPr>
          <w:trHeight w:val="357"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企业利润</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依据福州市道路清扫保洁定额</w:t>
            </w:r>
          </w:p>
        </w:tc>
      </w:tr>
      <w:tr>
        <w:tblPrEx>
          <w:tblCellMar>
            <w:top w:w="0" w:type="dxa"/>
            <w:left w:w="108" w:type="dxa"/>
            <w:bottom w:w="0" w:type="dxa"/>
            <w:right w:w="108" w:type="dxa"/>
          </w:tblCellMar>
        </w:tblPrEx>
        <w:trPr>
          <w:trHeight w:val="357"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以上合计</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357"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企业税费</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依据福州市道路清扫保洁定额</w:t>
            </w:r>
          </w:p>
        </w:tc>
      </w:tr>
      <w:tr>
        <w:tblPrEx>
          <w:tblCellMar>
            <w:top w:w="0" w:type="dxa"/>
            <w:left w:w="108" w:type="dxa"/>
            <w:bottom w:w="0" w:type="dxa"/>
            <w:right w:w="108" w:type="dxa"/>
          </w:tblCellMar>
        </w:tblPrEx>
        <w:trPr>
          <w:trHeight w:val="341"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14</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合计</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687"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2座转运站及5座公厕渗沥液收集量总计（吨）</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包1东部：鳌峰一转运站、鳌峰二转运站、三桥公厕、鳌峰洲公寓公厕、君临闽江、闽江公园（三）公厕、苍霞公园。</w:t>
            </w:r>
          </w:p>
        </w:tc>
      </w:tr>
      <w:tr>
        <w:tblPrEx>
          <w:tblCellMar>
            <w:top w:w="0" w:type="dxa"/>
            <w:left w:w="108" w:type="dxa"/>
            <w:bottom w:w="0" w:type="dxa"/>
            <w:right w:w="108" w:type="dxa"/>
          </w:tblCellMar>
        </w:tblPrEx>
        <w:trPr>
          <w:trHeight w:val="557"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16</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渗沥液收集转运费用（元/吨）</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10181" w:hRule="atLeast"/>
        </w:trPr>
        <w:tc>
          <w:tcPr>
            <w:tcW w:w="8678" w:type="dxa"/>
            <w:gridSpan w:val="6"/>
            <w:tcBorders>
              <w:top w:val="nil"/>
              <w:left w:val="nil"/>
              <w:bottom w:val="nil"/>
              <w:right w:val="nil"/>
            </w:tcBorders>
            <w:shd w:val="clear" w:color="auto" w:fill="auto"/>
            <w:noWrap/>
            <w:vAlign w:val="center"/>
          </w:tcPr>
          <w:tbl>
            <w:tblPr>
              <w:tblStyle w:val="18"/>
              <w:tblpPr w:leftFromText="180" w:rightFromText="180" w:vertAnchor="text" w:horzAnchor="page" w:tblpX="-127" w:tblpY="451"/>
              <w:tblOverlap w:val="never"/>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128"/>
              <w:gridCol w:w="1434"/>
              <w:gridCol w:w="4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790" w:type="dxa"/>
                  <w:shd w:val="clear" w:color="auto" w:fill="auto"/>
                  <w:vAlign w:val="center"/>
                </w:tcPr>
                <w:p>
                  <w:pPr>
                    <w:widowControl/>
                    <w:jc w:val="center"/>
                    <w:textAlignment w:val="center"/>
                    <w:rPr>
                      <w:rFonts w:ascii="宋体" w:hAnsi="宋体" w:eastAsia="宋体" w:cs="宋体"/>
                      <w:b/>
                      <w:bCs/>
                      <w:color w:val="auto"/>
                      <w:sz w:val="24"/>
                      <w:highlight w:val="none"/>
                    </w:rPr>
                  </w:pPr>
                  <w:bookmarkStart w:id="5" w:name="_Toc9876"/>
                  <w:r>
                    <w:rPr>
                      <w:rFonts w:hint="eastAsia" w:ascii="宋体" w:hAnsi="宋体" w:eastAsia="宋体" w:cs="宋体"/>
                      <w:b/>
                      <w:bCs/>
                      <w:color w:val="auto"/>
                      <w:kern w:val="0"/>
                      <w:sz w:val="24"/>
                      <w:highlight w:val="none"/>
                      <w:lang w:bidi="ar"/>
                    </w:rPr>
                    <w:t>序号</w:t>
                  </w:r>
                </w:p>
              </w:tc>
              <w:tc>
                <w:tcPr>
                  <w:tcW w:w="2128" w:type="dxa"/>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费用项目</w:t>
                  </w:r>
                </w:p>
              </w:tc>
              <w:tc>
                <w:tcPr>
                  <w:tcW w:w="1434" w:type="dxa"/>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运行费用</w:t>
                  </w:r>
                </w:p>
              </w:tc>
              <w:tc>
                <w:tcPr>
                  <w:tcW w:w="4266" w:type="dxa"/>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吸污车折旧费</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停车费</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车辆油费</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车辆维修费、保养</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车辆保险及年检费</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依据福州市道路清扫保洁定额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6</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吸污车司机工资</w:t>
                  </w:r>
                </w:p>
              </w:tc>
              <w:tc>
                <w:tcPr>
                  <w:tcW w:w="1434" w:type="dxa"/>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辅助工</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9</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以上合计</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jc w:val="left"/>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管理费</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依据福州市道路清扫保洁定额，含雇主责任险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企业利润</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依据福州市道路清扫保洁定额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以上合计</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jc w:val="left"/>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企业税费</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依据福州市道路清扫保洁定额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14</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合计</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jc w:val="left"/>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2座转运站及5座公厕渗沥液收集量总计（吨）</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包2西部：白马转运站吨、同德转运站、金沙园公厕，闽水园。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90"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16</w:t>
                  </w:r>
                </w:p>
              </w:tc>
              <w:tc>
                <w:tcPr>
                  <w:tcW w:w="2128"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渗沥液收集转运费用（元/吨）</w:t>
                  </w:r>
                </w:p>
              </w:tc>
              <w:tc>
                <w:tcPr>
                  <w:tcW w:w="1434"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w:t>
                  </w:r>
                </w:p>
              </w:tc>
              <w:tc>
                <w:tcPr>
                  <w:tcW w:w="4266" w:type="dxa"/>
                  <w:shd w:val="clear" w:color="auto" w:fill="auto"/>
                  <w:vAlign w:val="center"/>
                </w:tcPr>
                <w:p>
                  <w:pPr>
                    <w:widowControl/>
                    <w:jc w:val="left"/>
                    <w:textAlignment w:val="center"/>
                    <w:rPr>
                      <w:rFonts w:ascii="宋体" w:hAnsi="宋体" w:eastAsia="宋体" w:cs="宋体"/>
                      <w:color w:val="auto"/>
                      <w:sz w:val="24"/>
                      <w:highlight w:val="none"/>
                    </w:rPr>
                  </w:pPr>
                </w:p>
              </w:tc>
            </w:tr>
          </w:tbl>
          <w:p>
            <w:pPr>
              <w:jc w:val="center"/>
              <w:rPr>
                <w:rFonts w:ascii="宋体" w:hAnsi="宋体" w:eastAsia="宋体" w:cs="宋体"/>
                <w:color w:val="auto"/>
                <w:sz w:val="24"/>
                <w:highlight w:val="none"/>
              </w:rPr>
            </w:pPr>
            <w:r>
              <w:rPr>
                <w:rFonts w:hint="eastAsia" w:ascii="宋体" w:hAnsi="宋体" w:eastAsia="宋体" w:cs="宋体"/>
                <w:b/>
                <w:bCs/>
                <w:color w:val="auto"/>
                <w:kern w:val="0"/>
                <w:sz w:val="24"/>
                <w:highlight w:val="none"/>
              </w:rPr>
              <w:t>表5-2   包2西部：污水抽吸转运服务费费用组成</w:t>
            </w:r>
          </w:p>
        </w:tc>
      </w:tr>
      <w:tr>
        <w:tblPrEx>
          <w:tblCellMar>
            <w:top w:w="0" w:type="dxa"/>
            <w:left w:w="108" w:type="dxa"/>
            <w:bottom w:w="0" w:type="dxa"/>
            <w:right w:w="108" w:type="dxa"/>
          </w:tblCellMar>
        </w:tblPrEx>
        <w:trPr>
          <w:trHeight w:val="90" w:hRule="atLeast"/>
        </w:trPr>
        <w:tc>
          <w:tcPr>
            <w:tcW w:w="8678" w:type="dxa"/>
            <w:gridSpan w:val="6"/>
            <w:tcBorders>
              <w:top w:val="nil"/>
              <w:left w:val="nil"/>
              <w:bottom w:val="single" w:color="000000" w:sz="4" w:space="0"/>
              <w:right w:val="nil"/>
            </w:tcBorders>
            <w:shd w:val="clear" w:color="auto" w:fill="auto"/>
            <w:noWrap/>
            <w:vAlign w:val="center"/>
          </w:tcPr>
          <w:p>
            <w:pPr>
              <w:widowControl/>
              <w:textAlignment w:val="center"/>
              <w:rPr>
                <w:rFonts w:ascii="宋体" w:hAnsi="宋体" w:eastAsia="宋体" w:cs="宋体"/>
                <w:b/>
                <w:bCs/>
                <w:color w:val="auto"/>
                <w:kern w:val="0"/>
                <w:sz w:val="24"/>
                <w:highlight w:val="none"/>
                <w:lang w:bidi="ar"/>
              </w:rPr>
            </w:pPr>
          </w:p>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表5-3     污水抽吸转运驾驶员工资测算表</w:t>
            </w:r>
          </w:p>
        </w:tc>
      </w:tr>
      <w:tr>
        <w:tblPrEx>
          <w:tblCellMar>
            <w:top w:w="0" w:type="dxa"/>
            <w:left w:w="108" w:type="dxa"/>
            <w:bottom w:w="0" w:type="dxa"/>
            <w:right w:w="108" w:type="dxa"/>
          </w:tblCellMar>
        </w:tblPrEx>
        <w:trPr>
          <w:trHeight w:val="692"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1975"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项目名称</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备注</w:t>
            </w:r>
          </w:p>
        </w:tc>
      </w:tr>
      <w:tr>
        <w:tblPrEx>
          <w:tblCellMar>
            <w:top w:w="0" w:type="dxa"/>
            <w:left w:w="108" w:type="dxa"/>
            <w:bottom w:w="0" w:type="dxa"/>
            <w:right w:w="108" w:type="dxa"/>
          </w:tblCellMar>
        </w:tblPrEx>
        <w:trPr>
          <w:trHeight w:val="90"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法定节假日补贴（元/年·人）</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4"/>
                <w:highlight w:val="none"/>
                <w:lang w:bidi="ar"/>
              </w:rPr>
            </w:pPr>
          </w:p>
        </w:tc>
      </w:tr>
      <w:tr>
        <w:tblPrEx>
          <w:tblCellMar>
            <w:top w:w="0" w:type="dxa"/>
            <w:left w:w="108" w:type="dxa"/>
            <w:bottom w:w="0" w:type="dxa"/>
            <w:right w:w="108" w:type="dxa"/>
          </w:tblCellMar>
        </w:tblPrEx>
        <w:trPr>
          <w:trHeight w:val="687"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1.1.4</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年终奖</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参照2014年《福建省城镇道路清扫保洁作业指导价》</w:t>
            </w:r>
          </w:p>
        </w:tc>
      </w:tr>
      <w:tr>
        <w:tblPrEx>
          <w:tblCellMar>
            <w:top w:w="0" w:type="dxa"/>
            <w:left w:w="108" w:type="dxa"/>
            <w:bottom w:w="0" w:type="dxa"/>
            <w:right w:w="108" w:type="dxa"/>
          </w:tblCellMar>
        </w:tblPrEx>
        <w:trPr>
          <w:trHeight w:val="3116"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五险一金（元/年·人）</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福州市道路清扫保洁经费定额》、《关于调整2021年职工医疗保险缴费上下限基数的通知》、《福州住房公积金管委会发布调整2021年度住房公积金缴存基数的通知》、《福建省人力资源和社会保障厅关于公布我省最低工资标准的通知》、《福建省人力资源和社会保障厅 福建省财政厅 国家税务总局福建省税务局关于无雇工个体工商户和灵活就业人员补缴2020年度养老保险费适用缴费基数的通知》、《住房公积金管理条例》</w:t>
            </w:r>
          </w:p>
        </w:tc>
      </w:tr>
      <w:tr>
        <w:tblPrEx>
          <w:tblCellMar>
            <w:top w:w="0" w:type="dxa"/>
            <w:left w:w="108" w:type="dxa"/>
            <w:bottom w:w="0" w:type="dxa"/>
            <w:right w:w="108" w:type="dxa"/>
          </w:tblCellMar>
        </w:tblPrEx>
        <w:trPr>
          <w:trHeight w:val="649"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人身意外险（元/年·人）</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参照2014年《福建省城镇道路清扫保洁作业指导价》</w:t>
            </w:r>
          </w:p>
        </w:tc>
      </w:tr>
      <w:tr>
        <w:tblPrEx>
          <w:tblCellMar>
            <w:top w:w="0" w:type="dxa"/>
            <w:left w:w="108" w:type="dxa"/>
            <w:bottom w:w="0" w:type="dxa"/>
            <w:right w:w="108" w:type="dxa"/>
          </w:tblCellMar>
        </w:tblPrEx>
        <w:trPr>
          <w:trHeight w:val="793"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1.4</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劳保费（元/年·人）</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劳保用品包含工作服4套。雨靴1双。《福州市道路清扫保洁经费定额》</w:t>
            </w:r>
          </w:p>
        </w:tc>
      </w:tr>
      <w:tr>
        <w:tblPrEx>
          <w:tblCellMar>
            <w:top w:w="0" w:type="dxa"/>
            <w:left w:w="108" w:type="dxa"/>
            <w:bottom w:w="0" w:type="dxa"/>
            <w:right w:w="108" w:type="dxa"/>
          </w:tblCellMar>
        </w:tblPrEx>
        <w:trPr>
          <w:trHeight w:val="574"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1.5</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体检费</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可含在企业管理费里。</w:t>
            </w:r>
          </w:p>
        </w:tc>
      </w:tr>
      <w:tr>
        <w:tblPrEx>
          <w:tblCellMar>
            <w:top w:w="0" w:type="dxa"/>
            <w:left w:w="108" w:type="dxa"/>
            <w:bottom w:w="0" w:type="dxa"/>
            <w:right w:w="108" w:type="dxa"/>
          </w:tblCellMar>
        </w:tblPrEx>
        <w:trPr>
          <w:trHeight w:val="497" w:hRule="atLeast"/>
        </w:trPr>
        <w:tc>
          <w:tcPr>
            <w:tcW w:w="8678" w:type="dxa"/>
            <w:gridSpan w:val="6"/>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eastAsia="宋体" w:cs="宋体"/>
                <w:b/>
                <w:bCs/>
                <w:color w:val="auto"/>
                <w:kern w:val="0"/>
                <w:sz w:val="24"/>
                <w:highlight w:val="none"/>
                <w:lang w:bidi="ar"/>
              </w:rPr>
            </w:pPr>
          </w:p>
          <w:p>
            <w:pPr>
              <w:widowControl/>
              <w:jc w:val="center"/>
              <w:textAlignment w:val="center"/>
              <w:rPr>
                <w:rFonts w:ascii="宋体" w:hAnsi="宋体" w:eastAsia="宋体" w:cs="宋体"/>
                <w:b/>
                <w:bCs/>
                <w:color w:val="auto"/>
                <w:kern w:val="0"/>
                <w:sz w:val="24"/>
                <w:highlight w:val="none"/>
                <w:lang w:bidi="ar"/>
              </w:rPr>
            </w:pPr>
          </w:p>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表5-4    污水抽吸转运辅助工工资测算表</w:t>
            </w:r>
          </w:p>
        </w:tc>
      </w:tr>
      <w:tr>
        <w:tblPrEx>
          <w:tblCellMar>
            <w:top w:w="0" w:type="dxa"/>
            <w:left w:w="108" w:type="dxa"/>
            <w:bottom w:w="0" w:type="dxa"/>
            <w:right w:w="108" w:type="dxa"/>
          </w:tblCellMar>
        </w:tblPrEx>
        <w:trPr>
          <w:trHeight w:val="520"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1975"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项目名称</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备注</w:t>
            </w:r>
          </w:p>
        </w:tc>
      </w:tr>
      <w:tr>
        <w:tblPrEx>
          <w:tblCellMar>
            <w:top w:w="0" w:type="dxa"/>
            <w:left w:w="108" w:type="dxa"/>
            <w:bottom w:w="0" w:type="dxa"/>
            <w:right w:w="108" w:type="dxa"/>
          </w:tblCellMar>
        </w:tblPrEx>
        <w:trPr>
          <w:trHeight w:val="460"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 xml:space="preserve">        1</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人员薪酬</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auto"/>
                <w:sz w:val="24"/>
                <w:highlight w:val="none"/>
              </w:rPr>
            </w:pPr>
          </w:p>
        </w:tc>
      </w:tr>
      <w:tr>
        <w:tblPrEx>
          <w:tblCellMar>
            <w:top w:w="0" w:type="dxa"/>
            <w:left w:w="108" w:type="dxa"/>
            <w:bottom w:w="0" w:type="dxa"/>
            <w:right w:w="108" w:type="dxa"/>
          </w:tblCellMar>
        </w:tblPrEx>
        <w:trPr>
          <w:trHeight w:val="498"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1.1.1</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基本工资（元/月）</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参照2014年《福建省城镇道路清扫保洁作业指导价》</w:t>
            </w:r>
          </w:p>
        </w:tc>
      </w:tr>
      <w:tr>
        <w:tblPrEx>
          <w:tblCellMar>
            <w:top w:w="0" w:type="dxa"/>
            <w:left w:w="108" w:type="dxa"/>
            <w:bottom w:w="0" w:type="dxa"/>
            <w:right w:w="108" w:type="dxa"/>
          </w:tblCellMar>
        </w:tblPrEx>
        <w:trPr>
          <w:trHeight w:val="817"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1.1.2</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高温补贴（元/年·人）</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《关于调整夏季高温津贴标准的通知》（榕城管委综【2019】282号）</w:t>
            </w:r>
          </w:p>
        </w:tc>
      </w:tr>
      <w:tr>
        <w:tblPrEx>
          <w:tblCellMar>
            <w:top w:w="0" w:type="dxa"/>
            <w:left w:w="108" w:type="dxa"/>
            <w:bottom w:w="0" w:type="dxa"/>
            <w:right w:w="108" w:type="dxa"/>
          </w:tblCellMar>
        </w:tblPrEx>
        <w:trPr>
          <w:trHeight w:val="90"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法定节假日补贴（元/年·人）</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p>
        </w:tc>
      </w:tr>
      <w:tr>
        <w:tblPrEx>
          <w:tblCellMar>
            <w:top w:w="0" w:type="dxa"/>
            <w:left w:w="108" w:type="dxa"/>
            <w:bottom w:w="0" w:type="dxa"/>
            <w:right w:w="108" w:type="dxa"/>
          </w:tblCellMar>
        </w:tblPrEx>
        <w:trPr>
          <w:trHeight w:val="687"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1.1.4</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年终奖</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参照2014年《福建省城镇道路清扫保洁作业指导价》</w:t>
            </w:r>
          </w:p>
        </w:tc>
      </w:tr>
      <w:tr>
        <w:tblPrEx>
          <w:tblCellMar>
            <w:top w:w="0" w:type="dxa"/>
            <w:left w:w="108" w:type="dxa"/>
            <w:bottom w:w="0" w:type="dxa"/>
            <w:right w:w="108" w:type="dxa"/>
          </w:tblCellMar>
        </w:tblPrEx>
        <w:trPr>
          <w:trHeight w:val="2369"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五险一金（元/年·人）</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州市道路清扫保洁经费定额》、《关于调整2021年职工医疗保险缴费上下限基数的通知》、《福州住房公积金管委会发布调整2021年度住房公积金缴存基数的通知》、《福建省人力资源和社会保障厅关于公布我省最低工资标准的通知》、《福建省人力资源和社会保障厅 福建省财政厅 国家税务总局福建省税务局关于无雇工个体工商户和灵活就业人员补缴2020年度养老保险费适用缴费基数的通知》、《住房公积金管理条例》</w:t>
            </w:r>
          </w:p>
        </w:tc>
      </w:tr>
      <w:tr>
        <w:tblPrEx>
          <w:tblCellMar>
            <w:top w:w="0" w:type="dxa"/>
            <w:left w:w="108" w:type="dxa"/>
            <w:bottom w:w="0" w:type="dxa"/>
            <w:right w:w="108" w:type="dxa"/>
          </w:tblCellMar>
        </w:tblPrEx>
        <w:trPr>
          <w:trHeight w:val="1139"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人身意外险（元/年·人）</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参照2014年《福建省城镇道路清扫保洁作业指导价》</w:t>
            </w:r>
          </w:p>
        </w:tc>
      </w:tr>
      <w:tr>
        <w:tblPrEx>
          <w:tblCellMar>
            <w:top w:w="0" w:type="dxa"/>
            <w:left w:w="108" w:type="dxa"/>
            <w:bottom w:w="0" w:type="dxa"/>
            <w:right w:w="108" w:type="dxa"/>
          </w:tblCellMar>
        </w:tblPrEx>
        <w:trPr>
          <w:trHeight w:val="737"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1.4</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劳保费（元/年·人）</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劳保用品包含工作服4套。雨靴1双。《福州市道路清扫保洁经费定额》</w:t>
            </w:r>
          </w:p>
        </w:tc>
      </w:tr>
      <w:tr>
        <w:tblPrEx>
          <w:tblCellMar>
            <w:top w:w="0" w:type="dxa"/>
            <w:left w:w="108" w:type="dxa"/>
            <w:bottom w:w="0" w:type="dxa"/>
            <w:right w:w="108" w:type="dxa"/>
          </w:tblCellMar>
        </w:tblPrEx>
        <w:trPr>
          <w:trHeight w:val="694" w:hRule="atLeast"/>
        </w:trPr>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1.5</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体检费</w:t>
            </w:r>
          </w:p>
        </w:tc>
        <w:tc>
          <w:tcPr>
            <w:tcW w:w="5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可含在企业管理费里。</w:t>
            </w:r>
          </w:p>
        </w:tc>
      </w:tr>
    </w:tbl>
    <w:p>
      <w:pPr>
        <w:jc w:val="left"/>
        <w:outlineLvl w:val="9"/>
        <w:rPr>
          <w:rFonts w:ascii="宋体" w:hAnsi="宋体" w:eastAsia="宋体" w:cs="宋体"/>
          <w:color w:val="auto"/>
          <w:sz w:val="24"/>
          <w:highlight w:val="none"/>
        </w:rPr>
      </w:pPr>
    </w:p>
    <w:p>
      <w:pPr>
        <w:rPr>
          <w:rFonts w:ascii="宋体" w:hAnsi="宋体" w:eastAsia="宋体" w:cs="宋体"/>
          <w:b/>
          <w:bCs/>
          <w:color w:val="auto"/>
          <w:sz w:val="24"/>
          <w:highlight w:val="none"/>
        </w:rPr>
      </w:pPr>
      <w:r>
        <w:rPr>
          <w:rFonts w:hint="eastAsia" w:ascii="宋体" w:hAnsi="宋体" w:eastAsia="宋体" w:cs="宋体"/>
          <w:b/>
          <w:bCs/>
          <w:color w:val="auto"/>
          <w:sz w:val="24"/>
          <w:highlight w:val="none"/>
        </w:rPr>
        <w:t>（五）总计费用组成</w:t>
      </w:r>
    </w:p>
    <w:p>
      <w:pPr>
        <w:ind w:firstLine="720" w:firstLineChars="300"/>
        <w:jc w:val="left"/>
        <w:outlineLvl w:val="1"/>
        <w:rPr>
          <w:rFonts w:ascii="宋体" w:hAnsi="宋体" w:eastAsia="宋体" w:cs="宋体"/>
          <w:color w:val="auto"/>
          <w:sz w:val="24"/>
          <w:highlight w:val="none"/>
        </w:rPr>
      </w:pPr>
      <w:r>
        <w:rPr>
          <w:rFonts w:hint="eastAsia" w:ascii="宋体" w:hAnsi="宋体" w:eastAsia="宋体" w:cs="宋体"/>
          <w:color w:val="auto"/>
          <w:sz w:val="24"/>
          <w:highlight w:val="none"/>
        </w:rPr>
        <w:t>1、合同包一</w:t>
      </w:r>
      <w:bookmarkEnd w:id="5"/>
      <w:r>
        <w:rPr>
          <w:rFonts w:hint="eastAsia" w:ascii="宋体" w:hAnsi="宋体" w:eastAsia="宋体" w:cs="宋体"/>
          <w:color w:val="auto"/>
          <w:sz w:val="24"/>
          <w:highlight w:val="none"/>
        </w:rPr>
        <w:t>总计费用组成</w:t>
      </w:r>
    </w:p>
    <w:tbl>
      <w:tblPr>
        <w:tblStyle w:val="18"/>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385"/>
        <w:gridCol w:w="1823"/>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944" w:type="dxa"/>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合同包</w:t>
            </w:r>
          </w:p>
        </w:tc>
        <w:tc>
          <w:tcPr>
            <w:tcW w:w="2385" w:type="dxa"/>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项目</w:t>
            </w:r>
          </w:p>
        </w:tc>
        <w:tc>
          <w:tcPr>
            <w:tcW w:w="1823" w:type="dxa"/>
            <w:shd w:val="clear" w:color="auto" w:fill="auto"/>
            <w:noWrap/>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合同期限（年）</w:t>
            </w:r>
          </w:p>
        </w:tc>
        <w:tc>
          <w:tcPr>
            <w:tcW w:w="2506" w:type="dxa"/>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944" w:type="dxa"/>
            <w:vMerge w:val="restart"/>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合同包一（东部）</w:t>
            </w:r>
          </w:p>
        </w:tc>
        <w:tc>
          <w:tcPr>
            <w:tcW w:w="2385"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公厕运行</w:t>
            </w:r>
          </w:p>
        </w:tc>
        <w:tc>
          <w:tcPr>
            <w:tcW w:w="1823" w:type="dxa"/>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3 </w:t>
            </w:r>
          </w:p>
        </w:tc>
        <w:tc>
          <w:tcPr>
            <w:tcW w:w="2506" w:type="dxa"/>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拟市场化服务公厕共55座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trPr>
        <w:tc>
          <w:tcPr>
            <w:tcW w:w="1944" w:type="dxa"/>
            <w:vMerge w:val="continue"/>
            <w:shd w:val="clear" w:color="auto" w:fill="auto"/>
            <w:vAlign w:val="center"/>
          </w:tcPr>
          <w:p>
            <w:pPr>
              <w:jc w:val="center"/>
              <w:rPr>
                <w:rFonts w:ascii="宋体" w:hAnsi="宋体" w:eastAsia="宋体" w:cs="宋体"/>
                <w:color w:val="auto"/>
                <w:sz w:val="24"/>
                <w:highlight w:val="none"/>
              </w:rPr>
            </w:pPr>
          </w:p>
        </w:tc>
        <w:tc>
          <w:tcPr>
            <w:tcW w:w="2385"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污水抽吸转运运行</w:t>
            </w:r>
          </w:p>
        </w:tc>
        <w:tc>
          <w:tcPr>
            <w:tcW w:w="1823" w:type="dxa"/>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3 </w:t>
            </w:r>
          </w:p>
        </w:tc>
        <w:tc>
          <w:tcPr>
            <w:tcW w:w="2506" w:type="dxa"/>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费用项目见表1所示</w:t>
            </w:r>
          </w:p>
        </w:tc>
      </w:tr>
    </w:tbl>
    <w:p>
      <w:pPr>
        <w:ind w:firstLine="720" w:firstLineChars="300"/>
        <w:jc w:val="left"/>
        <w:outlineLvl w:val="9"/>
        <w:rPr>
          <w:rFonts w:ascii="宋体" w:hAnsi="宋体" w:eastAsia="宋体" w:cs="宋体"/>
          <w:color w:val="auto"/>
          <w:sz w:val="24"/>
          <w:highlight w:val="none"/>
        </w:rPr>
      </w:pPr>
    </w:p>
    <w:p>
      <w:pPr>
        <w:ind w:firstLine="720" w:firstLineChars="300"/>
        <w:jc w:val="left"/>
        <w:outlineLvl w:val="1"/>
        <w:rPr>
          <w:rFonts w:ascii="宋体" w:hAnsi="宋体" w:eastAsia="宋体" w:cs="宋体"/>
          <w:color w:val="auto"/>
          <w:sz w:val="24"/>
          <w:highlight w:val="none"/>
        </w:rPr>
      </w:pPr>
      <w:r>
        <w:rPr>
          <w:rFonts w:hint="eastAsia" w:ascii="宋体" w:hAnsi="宋体" w:eastAsia="宋体" w:cs="宋体"/>
          <w:color w:val="auto"/>
          <w:sz w:val="24"/>
          <w:highlight w:val="none"/>
        </w:rPr>
        <w:t>2、合同包一总计费用组成</w:t>
      </w:r>
    </w:p>
    <w:tbl>
      <w:tblPr>
        <w:tblStyle w:val="18"/>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2381"/>
        <w:gridCol w:w="1820"/>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940" w:type="dxa"/>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合同包</w:t>
            </w:r>
          </w:p>
        </w:tc>
        <w:tc>
          <w:tcPr>
            <w:tcW w:w="2381" w:type="dxa"/>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项目</w:t>
            </w:r>
          </w:p>
        </w:tc>
        <w:tc>
          <w:tcPr>
            <w:tcW w:w="1820" w:type="dxa"/>
            <w:shd w:val="clear" w:color="auto" w:fill="auto"/>
            <w:noWrap/>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合同期限（年）</w:t>
            </w:r>
          </w:p>
        </w:tc>
        <w:tc>
          <w:tcPr>
            <w:tcW w:w="2436" w:type="dxa"/>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940" w:type="dxa"/>
            <w:vMerge w:val="restart"/>
            <w:shd w:val="clear" w:color="auto" w:fill="auto"/>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合同包二（西部）</w:t>
            </w:r>
          </w:p>
        </w:tc>
        <w:tc>
          <w:tcPr>
            <w:tcW w:w="2381"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公厕运行</w:t>
            </w:r>
          </w:p>
        </w:tc>
        <w:tc>
          <w:tcPr>
            <w:tcW w:w="1820" w:type="dxa"/>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3 </w:t>
            </w:r>
          </w:p>
        </w:tc>
        <w:tc>
          <w:tcPr>
            <w:tcW w:w="2436" w:type="dxa"/>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西部项目拟市场化服务公厕共55座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940" w:type="dxa"/>
            <w:vMerge w:val="continue"/>
            <w:shd w:val="clear" w:color="auto" w:fill="auto"/>
            <w:vAlign w:val="center"/>
          </w:tcPr>
          <w:p>
            <w:pPr>
              <w:jc w:val="center"/>
              <w:rPr>
                <w:rFonts w:ascii="宋体" w:hAnsi="宋体" w:eastAsia="宋体" w:cs="宋体"/>
                <w:color w:val="auto"/>
                <w:sz w:val="24"/>
                <w:highlight w:val="none"/>
              </w:rPr>
            </w:pPr>
          </w:p>
        </w:tc>
        <w:tc>
          <w:tcPr>
            <w:tcW w:w="2381" w:type="dxa"/>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污水抽吸转运运行</w:t>
            </w:r>
          </w:p>
        </w:tc>
        <w:tc>
          <w:tcPr>
            <w:tcW w:w="1820" w:type="dxa"/>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3 </w:t>
            </w:r>
          </w:p>
        </w:tc>
        <w:tc>
          <w:tcPr>
            <w:tcW w:w="2436" w:type="dxa"/>
            <w:shd w:val="clear" w:color="auto" w:fill="auto"/>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费用项目见表2所示</w:t>
            </w:r>
          </w:p>
        </w:tc>
      </w:tr>
    </w:tbl>
    <w:p>
      <w:pPr>
        <w:rPr>
          <w:rFonts w:ascii="宋体" w:hAnsi="宋体" w:eastAsia="宋体" w:cs="宋体"/>
          <w:b/>
          <w:bCs/>
          <w:color w:val="auto"/>
          <w:sz w:val="24"/>
          <w:highlight w:val="none"/>
        </w:rPr>
      </w:pPr>
    </w:p>
    <w:p>
      <w:pPr>
        <w:rPr>
          <w:rFonts w:ascii="宋体" w:hAnsi="宋体" w:eastAsia="宋体" w:cs="宋体"/>
          <w:b/>
          <w:bCs/>
          <w:color w:val="auto"/>
          <w:sz w:val="24"/>
          <w:highlight w:val="none"/>
        </w:rPr>
      </w:pPr>
      <w:r>
        <w:rPr>
          <w:rFonts w:hint="eastAsia" w:ascii="宋体" w:hAnsi="宋体" w:eastAsia="宋体" w:cs="宋体"/>
          <w:b/>
          <w:bCs/>
          <w:color w:val="auto"/>
          <w:sz w:val="24"/>
          <w:highlight w:val="none"/>
        </w:rPr>
        <w:t>(六）项目服务要求</w:t>
      </w:r>
    </w:p>
    <w:p>
      <w:pPr>
        <w:pStyle w:val="4"/>
        <w:spacing w:before="0" w:after="0" w:line="240" w:lineRule="auto"/>
        <w:ind w:firstLine="482" w:firstLineChars="200"/>
        <w:rPr>
          <w:rFonts w:ascii="宋体" w:hAnsi="宋体" w:eastAsia="宋体" w:cs="宋体"/>
          <w:color w:val="auto"/>
          <w:sz w:val="24"/>
          <w:highlight w:val="none"/>
        </w:rPr>
      </w:pPr>
      <w:bookmarkStart w:id="6" w:name="_Toc21105"/>
      <w:r>
        <w:rPr>
          <w:rFonts w:hint="eastAsia" w:ascii="宋体" w:hAnsi="宋体" w:eastAsia="宋体" w:cs="宋体"/>
          <w:color w:val="auto"/>
          <w:sz w:val="24"/>
          <w:highlight w:val="none"/>
        </w:rPr>
        <w:t>1、公厕管养服务要求</w:t>
      </w:r>
      <w:bookmarkEnd w:id="6"/>
    </w:p>
    <w:p>
      <w:pPr>
        <w:pStyle w:val="14"/>
        <w:widowControl/>
        <w:spacing w:beforeAutospacing="0" w:afterAutospacing="0"/>
        <w:ind w:firstLine="480"/>
        <w:rPr>
          <w:rFonts w:ascii="宋体" w:hAnsi="宋体" w:eastAsia="宋体" w:cs="宋体"/>
          <w:color w:val="auto"/>
          <w:highlight w:val="none"/>
        </w:rPr>
      </w:pPr>
      <w:r>
        <w:rPr>
          <w:rFonts w:hint="eastAsia" w:ascii="宋体" w:hAnsi="宋体" w:eastAsia="宋体" w:cs="宋体"/>
          <w:color w:val="auto"/>
          <w:highlight w:val="none"/>
        </w:rPr>
        <w:t>（1）公厕须按照规定的时间开放，开放时间为：5:30至24:00(北京时间)，实行两班制，早班5:30-14:30（早餐时间：7:00-7:30，午餐时间：12:00-13:00）；晚班14:30-24:00（晚餐时间：18:00-19:00）。特殊情况按相关要求调整开放时间或作息时间。</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日常人员安排：每座公厕每班次一名保洁员在岗，每日例行清洁：公厕每日例行清洁的主要内容是按清洁质量标准进行地面的清扫、卫生洁具的清洁、用具的擦洗以及公厕周边3-4米范围内的环境卫生保障等。每日例行清扫四次，时间为每日早上6:00-6:30、中午13:30-14:30、傍晚17:00-18:00、晚上22:00后；由片区管理人员实施长效监督管理，实行定人、定岗、定量、定责制度。公厕保洁员要统一着装，佩戴统一样式的工作牌，仪容仪表规范整洁，言行举止文明得体。</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(3)厕所内禁止饲养各类家禽和宠物。</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(4)厕所各类标识、标牌设置规范、醒目，无破损、残缺、歪斜现象。</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(5)公厕开放时间内用水、用电系统应正常启用。</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(6)公厕内采光、照明和通风良好，公厕无臭味。公厕夜间照明应正常使用。</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(7)厕所内无杂物堆放，管理间（城市管理驿站）、工具间内物品摆放整齐，环境整洁，不得改变原有使用功能。</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（8）保洁工具使用完毕应整齐存放在工具间（箱）内或存放在不显眼的位置，归类摆放，整齐有序。</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(9)公厕内不得销售任何商品，不得利用公厕擅自设置广告或部分改变公厕用途，不得出租公厕附属用房。</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(10)公厕外环境(四周外墙起3米范围内)整洁有序，无垃圾、无粪便、无晾晒衣物、无杂物堆放。绿化植物无枯死、无黄土裸露。</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(11)公厕设施设备应完好，内外墙、屋面（顶）、便器、水电管线、冲水、洗手、照明、天花板、门窗、窗栅、隔板、镜子、挂衣钩、水龙头、拖把池、水阀</w:t>
      </w:r>
      <w:r>
        <w:rPr>
          <w:rFonts w:hint="eastAsia" w:ascii="宋体" w:hAnsi="宋体" w:eastAsia="宋体" w:cs="宋体"/>
          <w:color w:val="auto"/>
          <w:highlight w:val="none"/>
          <w:shd w:val="clear" w:color="auto" w:fill="FFFFFF"/>
        </w:rPr>
        <w:t>等各项设施设备无故障、无缺失、无损坏，发现故障或损坏应立即采取安全措施并由</w:t>
      </w:r>
      <w:r>
        <w:rPr>
          <w:rFonts w:hint="eastAsia" w:ascii="宋体" w:hAnsi="宋体" w:eastAsia="宋体" w:cs="宋体"/>
          <w:color w:val="auto"/>
          <w:highlight w:val="none"/>
        </w:rPr>
        <w:t>维修水、电工，必须持电工上岗证进行维修或更换，以确保公厕的正常开放</w:t>
      </w:r>
      <w:r>
        <w:rPr>
          <w:rFonts w:hint="eastAsia" w:ascii="宋体" w:hAnsi="宋体" w:eastAsia="宋体" w:cs="宋体"/>
          <w:color w:val="auto"/>
          <w:highlight w:val="none"/>
          <w:shd w:val="clear" w:color="auto" w:fill="FFFFFF"/>
        </w:rPr>
        <w:t>，如发生安全事故，责任由中标人承担。</w:t>
      </w:r>
      <w:r>
        <w:rPr>
          <w:rFonts w:hint="eastAsia" w:ascii="宋体" w:hAnsi="宋体" w:eastAsia="宋体" w:cs="宋体"/>
          <w:color w:val="auto"/>
          <w:highlight w:val="none"/>
        </w:rPr>
        <w:t>涉及公厕主体设计缺陷或主体变动等重大维修，应立即上报业主单位，并经现场核实后，确定由业主进行维修的，费用另行协商。</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(12)无障碍通道畅通，无障碍扶手完好、牢固，厕位内助力扶手完好、牢固。特需间（第三卫生间）内各项设施设备完好，不得摆放杂物，必须保持正常开放使用。</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(13)公厕给水和排污管道完好，保持畅通，闸阀严密，无破损和滴漏。</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(14)化粪池、贮粪池密闭性能良好，无渗漏，臭气不外溢。公厕粪池盖密闭，无缺少、破损现象。</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(15)公厕天花板、内外墙面、门窗和隔板无积尘、无污迹、无蛛网，无乱涂乱画、无破损，内外墙面光亮、整洁、无渗漏。</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(16)公厕地面清洁、平整、无破损，无积水、纸片、烟蒂、粪迹、痰迹等垃圾；</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(17)公厕内照明灯具、洗手器具、烘手器、冲水设备、上下水管、镜子、挂衣钩等无积尘、无污物；</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(18)大便厕位内地面整洁、大便器清洁，便槽内无积粪、无污垢。</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(19)小便器清洁，无水锈、无尿垢、无垃圾，无臭味；沟眼、管道保持畅通。</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(20)粪污水应排入市政污水管网或经吸粪车转运至粪便处理场所处置，有化粪池的公厕要定期清渣并留有记录，每季度清理、疏通不少于1次，贮粪池内的粪污水应及时转运。吸粪车作业规范，车辆整洁、密闭性能良好，无粪污水外溢和滴漏问题。转运作业时，粪便不得污染水体和作业场地。化粪池、贮粪池周围场地应保持整洁，地面无粪迹、垃圾、污水、恶臭、蝇蛆。化粪池、贮粪池无满溢问题，若发生满溢问题应在第一时间予以解决。</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(21)公厕需每天对蝇蛆、成蝇、飞虫等进行消杀，消杀工具及消杀药品齐全。蚊蝇孳生季节应定时喷洒灭蚊蝇药物，有防蝇、防蚊和防臭措施。定期消毒，特殊时期要定时消毒。</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22）公厕日常保洁标准：“十无五有”标准。即：洗手间地面全时段无积水、无垃圾、无污渍，门窗墙壁无灰尘、无粘贴物，镜面台面无水迹，纸篓垃圾桶无满溢，小便斗、蹲坑无尿碱、无便渍，无臭味，公厕内有纸巾、有洗手液、有保洁员服务、有绿植、有定位，确保全时段无异味，打造精美化公厕样板，提升市民满意度。</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(23)公厕管理不出现有责投诉。对公厕投诉问题和有责管理问题应在规定的期限内处理整改。</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(24)严格落实长效管理措施，不得采用跟踪检查组、临时突击保洁等不正常方式应对检查。</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（25）维修设施时，应有明显标识提示如厕人员。公厕停止使用，应张贴停用通知，明确停用时间、原因。</w:t>
      </w:r>
    </w:p>
    <w:p>
      <w:pPr>
        <w:pStyle w:val="14"/>
        <w:spacing w:beforeAutospacing="0" w:afterAutospacing="0"/>
        <w:ind w:firstLine="480" w:firstLineChars="200"/>
        <w:rPr>
          <w:rFonts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26）</w:t>
      </w:r>
      <w:r>
        <w:rPr>
          <w:rFonts w:hint="eastAsia" w:ascii="宋体" w:hAnsi="宋体" w:eastAsia="宋体" w:cs="宋体"/>
          <w:color w:val="auto"/>
          <w:highlight w:val="none"/>
          <w:lang w:val="zh-CN"/>
        </w:rPr>
        <w:t>公厕：除公厕整体提升改造外，公厕内、外所有维护、维修含化粪池、化粪池与市政管网之间的链接管道（需开挖市政道路的除外）所需费用由中标人负责。</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27）</w:t>
      </w:r>
      <w:r>
        <w:rPr>
          <w:rFonts w:hint="eastAsia" w:ascii="宋体" w:hAnsi="宋体" w:eastAsia="宋体" w:cs="宋体"/>
          <w:color w:val="auto"/>
          <w:highlight w:val="none"/>
          <w:lang w:val="zh-CN"/>
        </w:rPr>
        <w:t>中标人对公厕内部损坏的设施修复时间（修复时间系指到达现场并完成维修所需要的时间）：小维修不得超过</w:t>
      </w:r>
      <w:r>
        <w:rPr>
          <w:rFonts w:hint="eastAsia" w:ascii="宋体" w:hAnsi="宋体" w:eastAsia="宋体" w:cs="宋体"/>
          <w:color w:val="auto"/>
          <w:highlight w:val="none"/>
        </w:rPr>
        <w:t>1天</w:t>
      </w:r>
      <w:r>
        <w:rPr>
          <w:rFonts w:hint="eastAsia" w:ascii="宋体" w:hAnsi="宋体" w:eastAsia="宋体" w:cs="宋体"/>
          <w:color w:val="auto"/>
          <w:highlight w:val="none"/>
          <w:lang w:val="zh-CN"/>
        </w:rPr>
        <w:t>，大维修不得超过5天，如逾期未修复，采购人将按考评标准三倍扣罚。</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(28)其他未尽事宜按照附件1：《福州市台江区公厕市场化保洁作业标准》及附件2：《福州市台江区公厕市场化管养考评评分标准》执行。</w:t>
      </w:r>
    </w:p>
    <w:p>
      <w:pPr>
        <w:pStyle w:val="14"/>
        <w:spacing w:beforeAutospacing="0" w:afterAutospacing="0"/>
        <w:ind w:firstLine="482" w:firstLineChars="200"/>
        <w:rPr>
          <w:rFonts w:ascii="宋体" w:hAnsi="宋体" w:eastAsia="宋体" w:cs="宋体"/>
          <w:b/>
          <w:bCs/>
          <w:color w:val="auto"/>
          <w:highlight w:val="none"/>
        </w:rPr>
      </w:pPr>
    </w:p>
    <w:p>
      <w:pPr>
        <w:pStyle w:val="14"/>
        <w:spacing w:beforeAutospacing="0" w:afterAutospacing="0"/>
        <w:ind w:firstLine="482" w:firstLineChars="200"/>
        <w:rPr>
          <w:rFonts w:ascii="宋体" w:hAnsi="宋体" w:eastAsia="宋体" w:cs="宋体"/>
          <w:b/>
          <w:bCs/>
          <w:color w:val="auto"/>
          <w:kern w:val="2"/>
          <w:highlight w:val="none"/>
        </w:rPr>
      </w:pPr>
      <w:r>
        <w:rPr>
          <w:rFonts w:hint="eastAsia" w:ascii="宋体" w:hAnsi="宋体" w:eastAsia="宋体" w:cs="宋体"/>
          <w:b/>
          <w:bCs/>
          <w:color w:val="auto"/>
          <w:highlight w:val="none"/>
        </w:rPr>
        <w:t>2、</w:t>
      </w:r>
      <w:r>
        <w:rPr>
          <w:rFonts w:hint="eastAsia" w:ascii="宋体" w:hAnsi="宋体" w:eastAsia="宋体" w:cs="宋体"/>
          <w:b/>
          <w:bCs/>
          <w:color w:val="auto"/>
          <w:kern w:val="2"/>
          <w:highlight w:val="none"/>
        </w:rPr>
        <w:t>污水抽吸转运服务要求</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（1）中标人必须遵守国家相关法规，主动接受采购人质量检查和处罚标准。中标人须负责服务范围内的抽吸管理，严格按有关部门的要求，制定有关规章制度。</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（2）作业不遗漏，装载适量，密闭运输，在运输途中垃圾不暴露，无滴、漏、撒情况，无散落飞扬、拖挂。不得私自偷泄到未经国家允许的排放点。</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（3）中标人必须建立应急保障队伍与快速反应机制，制定应急保障预案并确保具备完善的快速反应组织措施及相关设备。</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（4）中标人必须规范管理、文明作业，加强作业质量管理，做好作业质量自查记录，抽吸过程需形成完整记录（拍照留底备查）。管理员和作业人员必须遵守作业规范和交通规则。</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（5）中标人必须办理抽吸车辆保险。承担污水运输、转运站及污水处理厂作业等所有安全责任。如发生事故，一切责任由中标人承担。</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（6）中标人项目管理人员通信工具必须保持每天24小时畅通。</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（7）中标人所属的机动、非机动作业车停放不得阻塞消防、公共交通等，影响消防通道畅通；抽吸车辆停放不得影响行人和其它车辆通行，收工后应存放在指定的位置进行集中管理。</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8）中标人所属作业人员要进行安全生产全面轮训，新录用工作人员应实施安全生产培训后方可上岗，自觉养成“一停二看三作业”的良好习惯，提高自我防范意识。合同期内发生的一切事故，如治安、交通事故和劳资纠纷等，均由中标人承担。</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（9）中标人必须自行熟悉本地环境，必须自行解决好与抽污水位置及路途有关周边的居民关系。</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（10）除不可抗力及极端恶劣天气因素外，中标人需无条件配合将产出的污水及时抽吸，不得因其他原因或者由于抽吸车辆故障而延误抽吸。</w:t>
      </w:r>
    </w:p>
    <w:p>
      <w:pPr>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（11）中标人应熟悉污水处理厂相关作业流程能与之良好配合。</w:t>
      </w:r>
    </w:p>
    <w:p>
      <w:pPr>
        <w:pStyle w:val="14"/>
        <w:widowControl/>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 xml:space="preserve"> (12)其他未尽事宜按照附件3《福州市台江区污水抽吸转运考核项目与标准》执行。</w:t>
      </w:r>
    </w:p>
    <w:p>
      <w:pPr>
        <w:pStyle w:val="4"/>
        <w:spacing w:before="0" w:after="0" w:line="240" w:lineRule="auto"/>
        <w:ind w:firstLine="482" w:firstLineChars="200"/>
        <w:outlineLvl w:val="9"/>
        <w:rPr>
          <w:rFonts w:ascii="宋体" w:hAnsi="宋体" w:eastAsia="宋体" w:cs="宋体"/>
          <w:color w:val="auto"/>
          <w:sz w:val="24"/>
          <w:highlight w:val="none"/>
        </w:rPr>
      </w:pPr>
      <w:bookmarkStart w:id="7" w:name="_Toc29626"/>
    </w:p>
    <w:p>
      <w:pPr>
        <w:pStyle w:val="4"/>
        <w:spacing w:before="0" w:after="0" w:line="24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3、人员素质及设施、设备要求</w:t>
      </w:r>
      <w:bookmarkEnd w:id="7"/>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（1）中标人须在中标公告发布日起10天内完成作业人员的招聘（每座公厕每班次1名保洁员）、入职手续（或与现有人员转接劳动关系）和上岗培训，并做好管养服务交接。以上人员必须经专业培训才能上岗。</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中标人应根据本项目实际需要，自行聘用或任命具有相关工作经验的项目管理人员（包括项目经理、设备设施管理员、质量考核与监督员以及其它办公人员等），相关费用列入投标人投标报价（企业管理费项目支出）。</w:t>
      </w:r>
    </w:p>
    <w:p>
      <w:pPr>
        <w:widowControl/>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（3）中标人针对本项目配置的车辆必须是满足本项目需求的污水抽吸转运车辆，且必须保障参与运营的车辆系其企业自有车辆。</w:t>
      </w:r>
    </w:p>
    <w:p>
      <w:pPr>
        <w:widowControl/>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中标人须自行配置项目实施所需的一切设备设施，设备的维护与管理费用由中标人自行承担。设备损坏7天内须维修完毕，维修期间中标人必须自行提供备用车辆及时抽吸。车辆若在合同期内发生变更、转让等情况的，必须征得采购人同意并在采购人规定时间内补齐车辆。</w:t>
      </w:r>
    </w:p>
    <w:p>
      <w:pPr>
        <w:widowControl/>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（5）车辆停放管理要求：抽吸车辆由中标人自行寻找停放位置停放和管理，费用由中标人自行支付。</w:t>
      </w:r>
    </w:p>
    <w:p>
      <w:pPr>
        <w:widowControl/>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（6）中标人必须保持所持有的抽吸车辆及设备的外观整洁、无破损。</w:t>
      </w:r>
    </w:p>
    <w:p>
      <w:pPr>
        <w:widowControl/>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7）包2（西部）中标人应无条件接收采购人1部2019年采购的吸粪车（采购价格299600元），中标人按照采购人采购价格8年折旧标准，在签订合同后1个月内，向采购人一次性支付承包合同期限的全部租赁费用。如未按期缴交租赁费用，视同违约，采购人有权单方面解除合同。租赁期间，车辆的保养、维护、燃油、保险费及其他费用均由中标人承担，所发生的一切安全责任事故由中标人承担。合同履约期结束后，采购人有权邀请第三方对车辆进行检验，若车辆出现问题，中标人需无条件修复后移交给采购人。</w:t>
      </w:r>
    </w:p>
    <w:p>
      <w:pPr>
        <w:widowControl/>
        <w:ind w:firstLine="480" w:firstLineChars="200"/>
        <w:rPr>
          <w:color w:val="auto"/>
          <w:highlight w:val="none"/>
        </w:rPr>
      </w:pPr>
      <w:r>
        <w:rPr>
          <w:rFonts w:hint="eastAsia" w:ascii="宋体" w:hAnsi="宋体" w:eastAsia="宋体" w:cs="宋体"/>
          <w:color w:val="auto"/>
          <w:kern w:val="0"/>
          <w:sz w:val="24"/>
          <w:highlight w:val="none"/>
        </w:rPr>
        <w:t>（8）中标人拟投入本项目的车辆需配备北斗导航系统。</w:t>
      </w:r>
    </w:p>
    <w:p>
      <w:pPr>
        <w:pStyle w:val="4"/>
        <w:spacing w:before="0" w:after="0" w:line="240" w:lineRule="auto"/>
        <w:ind w:firstLine="480" w:firstLineChars="200"/>
        <w:outlineLvl w:val="9"/>
        <w:rPr>
          <w:rFonts w:ascii="宋体" w:hAnsi="宋体" w:eastAsia="宋体" w:cs="宋体"/>
          <w:b w:val="0"/>
          <w:bCs/>
          <w:color w:val="auto"/>
          <w:sz w:val="24"/>
          <w:highlight w:val="none"/>
        </w:rPr>
      </w:pPr>
      <w:bookmarkStart w:id="8" w:name="_Toc6224"/>
    </w:p>
    <w:p>
      <w:pPr>
        <w:pStyle w:val="4"/>
        <w:spacing w:before="0" w:after="0" w:line="240" w:lineRule="auto"/>
        <w:ind w:firstLine="482" w:firstLineChars="200"/>
        <w:rPr>
          <w:rFonts w:ascii="宋体" w:hAnsi="宋体" w:eastAsia="宋体" w:cs="宋体"/>
          <w:color w:val="auto"/>
          <w:sz w:val="24"/>
          <w:highlight w:val="none"/>
        </w:rPr>
      </w:pPr>
      <w:r>
        <w:rPr>
          <w:rFonts w:hint="eastAsia" w:ascii="宋体" w:hAnsi="宋体" w:eastAsia="宋体" w:cs="宋体"/>
          <w:color w:val="auto"/>
          <w:sz w:val="24"/>
          <w:highlight w:val="none"/>
        </w:rPr>
        <w:t>4、应急迎检工作要求</w:t>
      </w:r>
      <w:bookmarkEnd w:id="8"/>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（1）在重大节日、公共活动、迎接检查或临时清理突发性环境卫生问题时，必须积极配合采购方认真做好相关作业服务，不留卫生死角、设备故障和安全隐患。</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投标方应承诺在发现突发事故或接到采购方紧急或重大任务通知后1个小时内启动应急工作方案和作业计划，组织充足的应急作业人员和作业工具，提前或延长公厕等设施服务时间，确保作业服务质量达到规定标准和上级检查验收要求。</w:t>
      </w:r>
    </w:p>
    <w:p>
      <w:pPr>
        <w:pStyle w:val="14"/>
        <w:spacing w:beforeAutospacing="0" w:afterAutospacing="0"/>
        <w:ind w:firstLine="480" w:firstLineChars="200"/>
        <w:rPr>
          <w:rFonts w:ascii="宋体" w:hAnsi="宋体" w:eastAsia="宋体" w:cs="宋体"/>
          <w:color w:val="auto"/>
          <w:highlight w:val="none"/>
        </w:rPr>
      </w:pPr>
    </w:p>
    <w:p>
      <w:pPr>
        <w:pStyle w:val="4"/>
        <w:spacing w:before="0" w:after="0" w:line="240" w:lineRule="auto"/>
        <w:ind w:firstLine="482" w:firstLineChars="200"/>
        <w:rPr>
          <w:rFonts w:ascii="宋体" w:hAnsi="宋体" w:eastAsia="宋体" w:cs="宋体"/>
          <w:color w:val="auto"/>
          <w:sz w:val="24"/>
          <w:highlight w:val="none"/>
        </w:rPr>
      </w:pPr>
      <w:bookmarkStart w:id="9" w:name="_Toc9452"/>
      <w:r>
        <w:rPr>
          <w:rFonts w:hint="eastAsia" w:ascii="宋体" w:hAnsi="宋体" w:eastAsia="宋体" w:cs="宋体"/>
          <w:color w:val="auto"/>
          <w:sz w:val="24"/>
          <w:highlight w:val="none"/>
        </w:rPr>
        <w:t>5、安全生产等其它工作要求</w:t>
      </w:r>
      <w:bookmarkEnd w:id="9"/>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投标方应制定并执行全面、完善、针对各个岗位的安全生产责任制度、劳动保障体系和风险防控措施，做到安全第一、责任到人、严密防控，规范实施各项作业程序和作业方式，并由专职人员负责安全生产工作，每日巡查作业人员劳动保护用具装备和设施、设备、车辆使用及保养情况，主动排除安全隐患、发现问题及时解决，出现事故全力控制，举一反三，严防死守，确保人身财产安全保障到位。</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中标人应为作业人员配备包含但不限于工作服(冬、夏)、手套、拖把、垃圾篓、抹布、除臭剂、清洁用品和提示牌等安全生产、劳动保护、清洁卫生用品和小型作业工器具及厕所卷纸、洗手液、绿植等（相关费用列入投标报价中的作业成本支出），确保作业人员人身安全、生产安全，保证作业期间的正常使用需求。</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（3）中标方负责保管采购方提供的公共厕所、转运站等设备设施，并承担相关保管、水电费用支出，保证其安全、无损失。</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（4）中标方负责安排员工参加作业服务的上岗培训和定期学习，达到相应岗位上岗资格，掌握安全规程，并逐渐提高工作素质和作业水平。</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（5）中标方负责处理在履行本合同服务期间发生的生产、交通等一切安全事故并承担因此产生的所有费用及法律责任。</w:t>
      </w:r>
    </w:p>
    <w:p>
      <w:pPr>
        <w:pStyle w:val="14"/>
        <w:spacing w:beforeAutospacing="0" w:afterAutospacing="0"/>
        <w:ind w:firstLine="480" w:firstLineChars="200"/>
        <w:rPr>
          <w:rStyle w:val="20"/>
          <w:rFonts w:ascii="宋体" w:hAnsi="宋体" w:eastAsia="宋体" w:cs="宋体"/>
          <w:bCs/>
          <w:color w:val="auto"/>
          <w:highlight w:val="none"/>
        </w:rPr>
      </w:pPr>
      <w:r>
        <w:rPr>
          <w:rFonts w:hint="eastAsia" w:ascii="宋体" w:hAnsi="宋体" w:eastAsia="宋体" w:cs="宋体"/>
          <w:color w:val="auto"/>
          <w:highlight w:val="none"/>
        </w:rPr>
        <w:t>（6）中标方（及其作业人员）应严格遵守各项法律、法规，抓好劳务、计生、治安、维稳等内部工作，不得发生扰乱社会治安、越级上访等事件。</w:t>
      </w:r>
    </w:p>
    <w:p>
      <w:pPr>
        <w:widowControl/>
        <w:spacing w:before="75" w:after="75"/>
        <w:jc w:val="left"/>
        <w:rPr>
          <w:rFonts w:ascii="宋体" w:hAnsi="宋体" w:eastAsia="宋体" w:cs="宋体"/>
          <w:color w:val="auto"/>
          <w:kern w:val="0"/>
          <w:sz w:val="24"/>
          <w:highlight w:val="none"/>
        </w:rPr>
      </w:pPr>
    </w:p>
    <w:p>
      <w:pPr>
        <w:widowControl/>
        <w:numPr>
          <w:ilvl w:val="0"/>
          <w:numId w:val="2"/>
        </w:numPr>
        <w:spacing w:before="75" w:after="75"/>
        <w:jc w:val="left"/>
        <w:rPr>
          <w:rFonts w:ascii="宋体" w:hAnsi="宋体" w:eastAsia="宋体" w:cs="宋体"/>
          <w:b/>
          <w:bCs/>
          <w:color w:val="auto"/>
          <w:kern w:val="0"/>
          <w:sz w:val="24"/>
          <w:highlight w:val="none"/>
        </w:rPr>
      </w:pPr>
      <w:r>
        <w:rPr>
          <w:rFonts w:ascii="宋体" w:hAnsi="宋体" w:eastAsia="宋体" w:cs="宋体"/>
          <w:color w:val="auto"/>
          <w:kern w:val="0"/>
          <w:sz w:val="24"/>
          <w:highlight w:val="none"/>
        </w:rPr>
        <w:t>商务条件</w:t>
      </w:r>
      <w:r>
        <w:rPr>
          <w:rFonts w:ascii="宋体" w:hAnsi="宋体" w:eastAsia="宋体" w:cs="宋体"/>
          <w:b/>
          <w:bCs/>
          <w:color w:val="auto"/>
          <w:kern w:val="0"/>
          <w:sz w:val="24"/>
          <w:highlight w:val="none"/>
        </w:rPr>
        <w:t>（以“</w:t>
      </w:r>
      <w:r>
        <w:rPr>
          <w:rFonts w:hint="eastAsia" w:ascii="宋体" w:hAnsi="宋体" w:eastAsia="宋体" w:cs="宋体"/>
          <w:b/>
          <w:bCs/>
          <w:color w:val="auto"/>
          <w:kern w:val="0"/>
          <w:sz w:val="24"/>
          <w:highlight w:val="none"/>
        </w:rPr>
        <w:t>★</w:t>
      </w:r>
      <w:r>
        <w:rPr>
          <w:rFonts w:ascii="Times New Roman" w:hAnsi="Times New Roman" w:eastAsia="宋体" w:cs="Times New Roman"/>
          <w:b/>
          <w:bCs/>
          <w:color w:val="auto"/>
          <w:kern w:val="0"/>
          <w:sz w:val="24"/>
          <w:highlight w:val="none"/>
        </w:rPr>
        <w:t>”</w:t>
      </w:r>
      <w:r>
        <w:rPr>
          <w:rFonts w:ascii="宋体" w:hAnsi="宋体" w:eastAsia="宋体" w:cs="宋体"/>
          <w:b/>
          <w:bCs/>
          <w:color w:val="auto"/>
          <w:kern w:val="0"/>
          <w:sz w:val="24"/>
          <w:highlight w:val="none"/>
        </w:rPr>
        <w:t>标示的内容为不允许负偏离的实质性要求）</w:t>
      </w:r>
    </w:p>
    <w:p>
      <w:pPr>
        <w:pStyle w:val="16"/>
        <w:ind w:left="0" w:leftChars="0" w:firstLine="0"/>
        <w:rPr>
          <w:b/>
          <w:bCs/>
          <w:color w:val="auto"/>
          <w:highlight w:val="none"/>
        </w:rPr>
      </w:pPr>
      <w:r>
        <w:rPr>
          <w:rFonts w:hint="eastAsia" w:ascii="宋体" w:hAnsi="宋体" w:eastAsia="宋体" w:cs="宋体"/>
          <w:b/>
          <w:bCs/>
          <w:color w:val="auto"/>
          <w:kern w:val="0"/>
          <w:sz w:val="24"/>
          <w:highlight w:val="none"/>
        </w:rPr>
        <w:t>包:1</w:t>
      </w:r>
    </w:p>
    <w:p>
      <w:pPr>
        <w:widowControl/>
        <w:numPr>
          <w:ilvl w:val="0"/>
          <w:numId w:val="3"/>
        </w:numPr>
        <w:spacing w:before="75" w:after="75"/>
        <w:jc w:val="left"/>
        <w:rPr>
          <w:rFonts w:ascii="宋体" w:hAnsi="宋体" w:eastAsia="宋体" w:cs="宋体"/>
          <w:bCs/>
          <w:color w:val="auto"/>
          <w:kern w:val="0"/>
          <w:sz w:val="24"/>
          <w:highlight w:val="none"/>
        </w:rPr>
      </w:pPr>
      <w:r>
        <w:rPr>
          <w:rFonts w:ascii="宋体" w:hAnsi="宋体" w:eastAsia="宋体" w:cs="宋体"/>
          <w:bCs/>
          <w:color w:val="auto"/>
          <w:kern w:val="0"/>
          <w:sz w:val="24"/>
          <w:highlight w:val="none"/>
        </w:rPr>
        <w:t>交付地点：</w:t>
      </w:r>
      <w:r>
        <w:rPr>
          <w:rFonts w:hint="eastAsia" w:ascii="宋体" w:hAnsi="宋体" w:eastAsia="宋体" w:cs="宋体"/>
          <w:bCs/>
          <w:color w:val="auto"/>
          <w:kern w:val="0"/>
          <w:sz w:val="24"/>
          <w:highlight w:val="none"/>
        </w:rPr>
        <w:t>福建省福州市台江区鳌兴路331号台江区环境卫生中心</w:t>
      </w:r>
    </w:p>
    <w:p>
      <w:pPr>
        <w:widowControl/>
        <w:spacing w:before="75" w:after="75"/>
        <w:jc w:val="left"/>
        <w:rPr>
          <w:rFonts w:ascii="宋体" w:hAnsi="宋体" w:eastAsia="宋体" w:cs="宋体"/>
          <w:bCs/>
          <w:color w:val="auto"/>
          <w:kern w:val="0"/>
          <w:sz w:val="24"/>
          <w:highlight w:val="none"/>
        </w:rPr>
      </w:pPr>
      <w:r>
        <w:rPr>
          <w:rFonts w:ascii="宋体" w:hAnsi="宋体" w:eastAsia="宋体" w:cs="宋体"/>
          <w:bCs/>
          <w:color w:val="auto"/>
          <w:kern w:val="0"/>
          <w:sz w:val="24"/>
          <w:highlight w:val="none"/>
        </w:rPr>
        <w:t>2、交付时间：合同签订</w:t>
      </w:r>
      <w:r>
        <w:rPr>
          <w:rFonts w:hint="eastAsia" w:ascii="宋体" w:hAnsi="宋体" w:eastAsia="宋体" w:cs="宋体"/>
          <w:bCs/>
          <w:color w:val="auto"/>
          <w:kern w:val="0"/>
          <w:sz w:val="24"/>
          <w:highlight w:val="none"/>
        </w:rPr>
        <w:t>30天内交付</w:t>
      </w:r>
      <w:r>
        <w:rPr>
          <w:rFonts w:ascii="宋体" w:hAnsi="宋体" w:eastAsia="宋体" w:cs="宋体"/>
          <w:bCs/>
          <w:color w:val="auto"/>
          <w:kern w:val="0"/>
          <w:sz w:val="24"/>
          <w:highlight w:val="none"/>
        </w:rPr>
        <w:t>。</w:t>
      </w:r>
    </w:p>
    <w:p>
      <w:pPr>
        <w:widowControl/>
        <w:spacing w:before="75" w:after="75"/>
        <w:jc w:val="left"/>
        <w:rPr>
          <w:rFonts w:ascii="宋体" w:hAnsi="宋体" w:eastAsia="宋体" w:cs="宋体"/>
          <w:bCs/>
          <w:color w:val="auto"/>
          <w:kern w:val="0"/>
          <w:sz w:val="24"/>
          <w:highlight w:val="none"/>
        </w:rPr>
      </w:pPr>
      <w:r>
        <w:rPr>
          <w:rFonts w:ascii="宋体" w:hAnsi="宋体" w:eastAsia="宋体" w:cs="宋体"/>
          <w:bCs/>
          <w:color w:val="auto"/>
          <w:kern w:val="0"/>
          <w:sz w:val="24"/>
          <w:highlight w:val="none"/>
        </w:rPr>
        <w:t>3、交付条件：</w:t>
      </w:r>
      <w:r>
        <w:rPr>
          <w:rFonts w:hint="eastAsia" w:ascii="宋体" w:hAnsi="宋体" w:eastAsia="宋体" w:cs="宋体"/>
          <w:bCs/>
          <w:color w:val="auto"/>
          <w:kern w:val="0"/>
          <w:sz w:val="24"/>
          <w:highlight w:val="none"/>
        </w:rPr>
        <w:t>按采购人合同要求</w:t>
      </w:r>
      <w:r>
        <w:rPr>
          <w:rFonts w:ascii="宋体" w:hAnsi="宋体" w:eastAsia="宋体" w:cs="宋体"/>
          <w:bCs/>
          <w:color w:val="auto"/>
          <w:kern w:val="0"/>
          <w:sz w:val="24"/>
          <w:highlight w:val="none"/>
        </w:rPr>
        <w:t>。</w:t>
      </w:r>
    </w:p>
    <w:p>
      <w:pPr>
        <w:widowControl/>
        <w:spacing w:before="75" w:after="75"/>
        <w:jc w:val="left"/>
        <w:rPr>
          <w:rFonts w:ascii="宋体" w:hAnsi="宋体" w:eastAsia="宋体" w:cs="宋体"/>
          <w:bCs/>
          <w:color w:val="auto"/>
          <w:kern w:val="0"/>
          <w:sz w:val="24"/>
          <w:highlight w:val="none"/>
        </w:rPr>
      </w:pPr>
      <w:r>
        <w:rPr>
          <w:rFonts w:ascii="宋体" w:hAnsi="宋体" w:eastAsia="宋体" w:cs="宋体"/>
          <w:bCs/>
          <w:color w:val="auto"/>
          <w:kern w:val="0"/>
          <w:sz w:val="24"/>
          <w:highlight w:val="none"/>
        </w:rPr>
        <w:t>4、是否收取履约保证金： 是。履约保证金百分比：</w:t>
      </w:r>
      <w:r>
        <w:rPr>
          <w:rFonts w:hint="eastAsia" w:ascii="宋体" w:hAnsi="宋体" w:eastAsia="宋体" w:cs="宋体"/>
          <w:bCs/>
          <w:color w:val="auto"/>
          <w:kern w:val="0"/>
          <w:sz w:val="24"/>
          <w:highlight w:val="none"/>
        </w:rPr>
        <w:t>6</w:t>
      </w:r>
      <w:r>
        <w:rPr>
          <w:rFonts w:ascii="宋体" w:hAnsi="宋体" w:eastAsia="宋体" w:cs="宋体"/>
          <w:bCs/>
          <w:color w:val="auto"/>
          <w:kern w:val="0"/>
          <w:sz w:val="24"/>
          <w:highlight w:val="none"/>
        </w:rPr>
        <w:t>%。说明：中标人须在合同签订</w:t>
      </w:r>
      <w:r>
        <w:rPr>
          <w:rFonts w:hint="eastAsia" w:ascii="宋体" w:hAnsi="宋体" w:eastAsia="宋体" w:cs="宋体"/>
          <w:bCs/>
          <w:color w:val="auto"/>
          <w:kern w:val="0"/>
          <w:sz w:val="24"/>
          <w:highlight w:val="none"/>
        </w:rPr>
        <w:t>同时</w:t>
      </w:r>
      <w:r>
        <w:rPr>
          <w:rFonts w:ascii="宋体" w:hAnsi="宋体" w:eastAsia="宋体" w:cs="宋体"/>
          <w:bCs/>
          <w:color w:val="auto"/>
          <w:kern w:val="0"/>
          <w:sz w:val="24"/>
          <w:highlight w:val="none"/>
        </w:rPr>
        <w:t>，以支票、汇票、本票或者金融机构、担保机构出具的保函等非现金形式向采购人缴交合同金额的</w:t>
      </w:r>
      <w:r>
        <w:rPr>
          <w:rFonts w:hint="eastAsia" w:ascii="宋体" w:hAnsi="宋体" w:eastAsia="宋体" w:cs="宋体"/>
          <w:bCs/>
          <w:color w:val="auto"/>
          <w:kern w:val="0"/>
          <w:sz w:val="24"/>
          <w:highlight w:val="none"/>
        </w:rPr>
        <w:t>6</w:t>
      </w:r>
      <w:r>
        <w:rPr>
          <w:rFonts w:ascii="宋体" w:hAnsi="宋体" w:eastAsia="宋体" w:cs="宋体"/>
          <w:bCs/>
          <w:color w:val="auto"/>
          <w:kern w:val="0"/>
          <w:sz w:val="24"/>
          <w:highlight w:val="none"/>
        </w:rPr>
        <w:t>%作为履约保证金。该履约保证金在</w:t>
      </w:r>
      <w:r>
        <w:rPr>
          <w:rFonts w:hint="eastAsia" w:ascii="宋体" w:hAnsi="宋体" w:eastAsia="宋体" w:cs="宋体"/>
          <w:bCs/>
          <w:color w:val="auto"/>
          <w:kern w:val="0"/>
          <w:sz w:val="24"/>
          <w:highlight w:val="none"/>
        </w:rPr>
        <w:t>合同期满，履约正常，全额无息退还。</w:t>
      </w:r>
    </w:p>
    <w:p>
      <w:pPr>
        <w:widowControl/>
        <w:spacing w:before="75" w:after="75"/>
        <w:jc w:val="left"/>
        <w:rPr>
          <w:rFonts w:ascii="宋体" w:hAnsi="宋体" w:eastAsia="宋体" w:cs="宋体"/>
          <w:bCs/>
          <w:color w:val="auto"/>
          <w:kern w:val="0"/>
          <w:sz w:val="24"/>
          <w:highlight w:val="none"/>
        </w:rPr>
      </w:pPr>
      <w:r>
        <w:rPr>
          <w:rFonts w:ascii="宋体" w:hAnsi="宋体" w:eastAsia="宋体" w:cs="宋体"/>
          <w:bCs/>
          <w:color w:val="auto"/>
          <w:kern w:val="0"/>
          <w:sz w:val="24"/>
          <w:highlight w:val="none"/>
        </w:rPr>
        <w:t>5、是否邀请投标人参与验收：否</w:t>
      </w:r>
    </w:p>
    <w:p>
      <w:pPr>
        <w:widowControl/>
        <w:spacing w:before="75" w:after="75"/>
        <w:jc w:val="left"/>
        <w:rPr>
          <w:rFonts w:ascii="宋体" w:hAnsi="宋体" w:eastAsia="宋体" w:cs="宋体"/>
          <w:color w:val="auto"/>
          <w:kern w:val="0"/>
          <w:sz w:val="24"/>
          <w:highlight w:val="none"/>
        </w:rPr>
      </w:pPr>
      <w:r>
        <w:rPr>
          <w:rFonts w:ascii="宋体" w:hAnsi="宋体" w:eastAsia="宋体" w:cs="宋体"/>
          <w:bCs/>
          <w:color w:val="auto"/>
          <w:kern w:val="0"/>
          <w:sz w:val="24"/>
          <w:highlight w:val="none"/>
        </w:rPr>
        <w:t>6、验收方式数据表格</w:t>
      </w:r>
    </w:p>
    <w:tbl>
      <w:tblPr>
        <w:tblStyle w:val="18"/>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07"/>
        <w:gridCol w:w="68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验收期次</w:t>
            </w:r>
          </w:p>
        </w:tc>
        <w:tc>
          <w:tcPr>
            <w:tcW w:w="40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1</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符合合同要求及响应招标文件要求</w:t>
            </w:r>
          </w:p>
        </w:tc>
      </w:tr>
    </w:tbl>
    <w:p>
      <w:pPr>
        <w:widowControl/>
        <w:spacing w:before="75" w:after="75"/>
        <w:jc w:val="left"/>
        <w:rPr>
          <w:rFonts w:ascii="宋体" w:hAnsi="宋体" w:eastAsia="宋体" w:cs="宋体"/>
          <w:bCs/>
          <w:color w:val="auto"/>
          <w:kern w:val="0"/>
          <w:sz w:val="24"/>
          <w:highlight w:val="none"/>
        </w:rPr>
      </w:pPr>
      <w:r>
        <w:rPr>
          <w:rFonts w:ascii="宋体" w:hAnsi="宋体" w:eastAsia="宋体" w:cs="宋体"/>
          <w:bCs/>
          <w:color w:val="auto"/>
          <w:kern w:val="0"/>
          <w:sz w:val="24"/>
          <w:highlight w:val="none"/>
        </w:rPr>
        <w:t>7、支付方式数据表格</w:t>
      </w:r>
    </w:p>
    <w:tbl>
      <w:tblPr>
        <w:tblStyle w:val="18"/>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07"/>
        <w:gridCol w:w="1651"/>
        <w:gridCol w:w="51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支付期次</w:t>
            </w:r>
          </w:p>
        </w:tc>
        <w:tc>
          <w:tcPr>
            <w:tcW w:w="967"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支付比例(%)</w:t>
            </w:r>
          </w:p>
        </w:tc>
        <w:tc>
          <w:tcPr>
            <w:tcW w:w="3032"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1</w:t>
            </w:r>
          </w:p>
        </w:tc>
        <w:tc>
          <w:tcPr>
            <w:tcW w:w="967"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100</w:t>
            </w:r>
          </w:p>
        </w:tc>
        <w:tc>
          <w:tcPr>
            <w:tcW w:w="3032"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sz w:val="24"/>
                <w:highlight w:val="none"/>
              </w:rPr>
              <w:t>按合同要求，每月考评结果支付相应经费</w:t>
            </w:r>
          </w:p>
        </w:tc>
      </w:tr>
    </w:tbl>
    <w:p>
      <w:pPr>
        <w:pStyle w:val="16"/>
        <w:ind w:left="0" w:leftChars="0" w:firstLine="0"/>
        <w:rPr>
          <w:rFonts w:ascii="宋体" w:hAnsi="宋体" w:eastAsia="宋体" w:cs="宋体"/>
          <w:b/>
          <w:bCs/>
          <w:color w:val="auto"/>
          <w:kern w:val="0"/>
          <w:sz w:val="24"/>
          <w:highlight w:val="none"/>
        </w:rPr>
      </w:pPr>
    </w:p>
    <w:p>
      <w:pPr>
        <w:pStyle w:val="16"/>
        <w:ind w:left="0" w:leftChars="0" w:firstLine="0"/>
        <w:rPr>
          <w:rFonts w:eastAsia="宋体"/>
          <w:b/>
          <w:bCs/>
          <w:color w:val="auto"/>
          <w:highlight w:val="none"/>
        </w:rPr>
      </w:pPr>
      <w:r>
        <w:rPr>
          <w:rFonts w:hint="eastAsia" w:ascii="宋体" w:hAnsi="宋体" w:eastAsia="宋体" w:cs="宋体"/>
          <w:b/>
          <w:bCs/>
          <w:color w:val="auto"/>
          <w:kern w:val="0"/>
          <w:sz w:val="24"/>
          <w:highlight w:val="none"/>
        </w:rPr>
        <w:t>包:2</w:t>
      </w:r>
    </w:p>
    <w:p>
      <w:pPr>
        <w:widowControl/>
        <w:numPr>
          <w:ilvl w:val="0"/>
          <w:numId w:val="3"/>
        </w:numPr>
        <w:spacing w:before="75" w:after="75"/>
        <w:jc w:val="left"/>
        <w:rPr>
          <w:rFonts w:ascii="宋体" w:hAnsi="宋体" w:eastAsia="宋体" w:cs="宋体"/>
          <w:bCs/>
          <w:color w:val="auto"/>
          <w:kern w:val="0"/>
          <w:sz w:val="24"/>
          <w:highlight w:val="none"/>
        </w:rPr>
      </w:pPr>
      <w:bookmarkStart w:id="10" w:name="_Toc13437"/>
      <w:r>
        <w:rPr>
          <w:rFonts w:ascii="宋体" w:hAnsi="宋体" w:eastAsia="宋体" w:cs="宋体"/>
          <w:bCs/>
          <w:color w:val="auto"/>
          <w:kern w:val="0"/>
          <w:sz w:val="24"/>
          <w:highlight w:val="none"/>
        </w:rPr>
        <w:t>交付地点：</w:t>
      </w:r>
      <w:r>
        <w:rPr>
          <w:rFonts w:hint="eastAsia" w:ascii="宋体" w:hAnsi="宋体" w:eastAsia="宋体" w:cs="宋体"/>
          <w:bCs/>
          <w:color w:val="auto"/>
          <w:kern w:val="0"/>
          <w:sz w:val="24"/>
          <w:highlight w:val="none"/>
        </w:rPr>
        <w:t>福建省福州市台江区鳌兴路331号台江区环境卫生中心</w:t>
      </w:r>
    </w:p>
    <w:p>
      <w:pPr>
        <w:widowControl/>
        <w:spacing w:before="75" w:after="75"/>
        <w:jc w:val="left"/>
        <w:rPr>
          <w:rFonts w:ascii="宋体" w:hAnsi="宋体" w:eastAsia="宋体" w:cs="宋体"/>
          <w:bCs/>
          <w:color w:val="auto"/>
          <w:kern w:val="0"/>
          <w:sz w:val="24"/>
          <w:highlight w:val="none"/>
        </w:rPr>
      </w:pPr>
      <w:r>
        <w:rPr>
          <w:rFonts w:ascii="宋体" w:hAnsi="宋体" w:eastAsia="宋体" w:cs="宋体"/>
          <w:bCs/>
          <w:color w:val="auto"/>
          <w:kern w:val="0"/>
          <w:sz w:val="24"/>
          <w:highlight w:val="none"/>
        </w:rPr>
        <w:t>2、交付时间：合同签订</w:t>
      </w:r>
      <w:r>
        <w:rPr>
          <w:rFonts w:hint="eastAsia" w:ascii="宋体" w:hAnsi="宋体" w:eastAsia="宋体" w:cs="宋体"/>
          <w:bCs/>
          <w:color w:val="auto"/>
          <w:kern w:val="0"/>
          <w:sz w:val="24"/>
          <w:highlight w:val="none"/>
        </w:rPr>
        <w:t>30天内交付</w:t>
      </w:r>
      <w:r>
        <w:rPr>
          <w:rFonts w:ascii="宋体" w:hAnsi="宋体" w:eastAsia="宋体" w:cs="宋体"/>
          <w:bCs/>
          <w:color w:val="auto"/>
          <w:kern w:val="0"/>
          <w:sz w:val="24"/>
          <w:highlight w:val="none"/>
        </w:rPr>
        <w:t>。</w:t>
      </w:r>
    </w:p>
    <w:p>
      <w:pPr>
        <w:widowControl/>
        <w:spacing w:before="75" w:after="75"/>
        <w:jc w:val="left"/>
        <w:rPr>
          <w:rFonts w:ascii="宋体" w:hAnsi="宋体" w:eastAsia="宋体" w:cs="宋体"/>
          <w:bCs/>
          <w:color w:val="auto"/>
          <w:kern w:val="0"/>
          <w:sz w:val="24"/>
          <w:highlight w:val="none"/>
        </w:rPr>
      </w:pPr>
      <w:r>
        <w:rPr>
          <w:rFonts w:ascii="宋体" w:hAnsi="宋体" w:eastAsia="宋体" w:cs="宋体"/>
          <w:bCs/>
          <w:color w:val="auto"/>
          <w:kern w:val="0"/>
          <w:sz w:val="24"/>
          <w:highlight w:val="none"/>
        </w:rPr>
        <w:t>3、交付条件：</w:t>
      </w:r>
      <w:r>
        <w:rPr>
          <w:rFonts w:hint="eastAsia" w:ascii="宋体" w:hAnsi="宋体" w:eastAsia="宋体" w:cs="宋体"/>
          <w:bCs/>
          <w:color w:val="auto"/>
          <w:kern w:val="0"/>
          <w:sz w:val="24"/>
          <w:highlight w:val="none"/>
        </w:rPr>
        <w:t>按采购人合同要求</w:t>
      </w:r>
      <w:r>
        <w:rPr>
          <w:rFonts w:ascii="宋体" w:hAnsi="宋体" w:eastAsia="宋体" w:cs="宋体"/>
          <w:bCs/>
          <w:color w:val="auto"/>
          <w:kern w:val="0"/>
          <w:sz w:val="24"/>
          <w:highlight w:val="none"/>
        </w:rPr>
        <w:t>。</w:t>
      </w:r>
    </w:p>
    <w:p>
      <w:pPr>
        <w:widowControl/>
        <w:spacing w:before="75" w:after="75"/>
        <w:jc w:val="left"/>
        <w:rPr>
          <w:rFonts w:ascii="宋体" w:hAnsi="宋体" w:eastAsia="宋体" w:cs="宋体"/>
          <w:bCs/>
          <w:color w:val="auto"/>
          <w:kern w:val="0"/>
          <w:sz w:val="24"/>
          <w:highlight w:val="none"/>
        </w:rPr>
      </w:pPr>
      <w:r>
        <w:rPr>
          <w:rFonts w:ascii="宋体" w:hAnsi="宋体" w:eastAsia="宋体" w:cs="宋体"/>
          <w:bCs/>
          <w:color w:val="auto"/>
          <w:kern w:val="0"/>
          <w:sz w:val="24"/>
          <w:highlight w:val="none"/>
        </w:rPr>
        <w:t>4、是否收取履约保证金： 是。履约保证金百分比：</w:t>
      </w:r>
      <w:r>
        <w:rPr>
          <w:rFonts w:hint="eastAsia" w:ascii="宋体" w:hAnsi="宋体" w:eastAsia="宋体" w:cs="宋体"/>
          <w:bCs/>
          <w:color w:val="auto"/>
          <w:kern w:val="0"/>
          <w:sz w:val="24"/>
          <w:highlight w:val="none"/>
        </w:rPr>
        <w:t>6</w:t>
      </w:r>
      <w:r>
        <w:rPr>
          <w:rFonts w:ascii="宋体" w:hAnsi="宋体" w:eastAsia="宋体" w:cs="宋体"/>
          <w:bCs/>
          <w:color w:val="auto"/>
          <w:kern w:val="0"/>
          <w:sz w:val="24"/>
          <w:highlight w:val="none"/>
        </w:rPr>
        <w:t>%。说明：中标人须在合同签订</w:t>
      </w:r>
      <w:r>
        <w:rPr>
          <w:rFonts w:hint="eastAsia" w:ascii="宋体" w:hAnsi="宋体" w:eastAsia="宋体" w:cs="宋体"/>
          <w:bCs/>
          <w:color w:val="auto"/>
          <w:kern w:val="0"/>
          <w:sz w:val="24"/>
          <w:highlight w:val="none"/>
        </w:rPr>
        <w:t>同时</w:t>
      </w:r>
      <w:r>
        <w:rPr>
          <w:rFonts w:ascii="宋体" w:hAnsi="宋体" w:eastAsia="宋体" w:cs="宋体"/>
          <w:bCs/>
          <w:color w:val="auto"/>
          <w:kern w:val="0"/>
          <w:sz w:val="24"/>
          <w:highlight w:val="none"/>
        </w:rPr>
        <w:t>，以支票、汇票、本票或者金融机构、担保机构出具的保函等非现金形式向采购人缴交合同金额的</w:t>
      </w:r>
      <w:r>
        <w:rPr>
          <w:rFonts w:hint="eastAsia" w:ascii="宋体" w:hAnsi="宋体" w:eastAsia="宋体" w:cs="宋体"/>
          <w:bCs/>
          <w:color w:val="auto"/>
          <w:kern w:val="0"/>
          <w:sz w:val="24"/>
          <w:highlight w:val="none"/>
        </w:rPr>
        <w:t>6</w:t>
      </w:r>
      <w:r>
        <w:rPr>
          <w:rFonts w:ascii="宋体" w:hAnsi="宋体" w:eastAsia="宋体" w:cs="宋体"/>
          <w:bCs/>
          <w:color w:val="auto"/>
          <w:kern w:val="0"/>
          <w:sz w:val="24"/>
          <w:highlight w:val="none"/>
        </w:rPr>
        <w:t>%作为履约保证金。该履约保证金在</w:t>
      </w:r>
      <w:r>
        <w:rPr>
          <w:rFonts w:hint="eastAsia" w:ascii="宋体" w:hAnsi="宋体" w:eastAsia="宋体" w:cs="宋体"/>
          <w:bCs/>
          <w:color w:val="auto"/>
          <w:kern w:val="0"/>
          <w:sz w:val="24"/>
          <w:highlight w:val="none"/>
        </w:rPr>
        <w:t>合同期满，履约正常，全额无息退还。</w:t>
      </w:r>
    </w:p>
    <w:p>
      <w:pPr>
        <w:widowControl/>
        <w:spacing w:before="75" w:after="75"/>
        <w:jc w:val="left"/>
        <w:rPr>
          <w:rFonts w:ascii="宋体" w:hAnsi="宋体" w:eastAsia="宋体" w:cs="宋体"/>
          <w:bCs/>
          <w:color w:val="auto"/>
          <w:kern w:val="0"/>
          <w:sz w:val="24"/>
          <w:highlight w:val="none"/>
        </w:rPr>
      </w:pPr>
      <w:r>
        <w:rPr>
          <w:rFonts w:ascii="宋体" w:hAnsi="宋体" w:eastAsia="宋体" w:cs="宋体"/>
          <w:bCs/>
          <w:color w:val="auto"/>
          <w:kern w:val="0"/>
          <w:sz w:val="24"/>
          <w:highlight w:val="none"/>
        </w:rPr>
        <w:t>5、是否邀请投标人参与验收：否</w:t>
      </w:r>
    </w:p>
    <w:p>
      <w:pPr>
        <w:widowControl/>
        <w:spacing w:before="75" w:after="75"/>
        <w:jc w:val="left"/>
        <w:rPr>
          <w:rFonts w:ascii="宋体" w:hAnsi="宋体" w:eastAsia="宋体" w:cs="宋体"/>
          <w:color w:val="auto"/>
          <w:kern w:val="0"/>
          <w:sz w:val="24"/>
          <w:highlight w:val="none"/>
        </w:rPr>
      </w:pPr>
      <w:r>
        <w:rPr>
          <w:rFonts w:ascii="宋体" w:hAnsi="宋体" w:eastAsia="宋体" w:cs="宋体"/>
          <w:bCs/>
          <w:color w:val="auto"/>
          <w:kern w:val="0"/>
          <w:sz w:val="24"/>
          <w:highlight w:val="none"/>
        </w:rPr>
        <w:t>6、验收方式数据表格</w:t>
      </w:r>
    </w:p>
    <w:tbl>
      <w:tblPr>
        <w:tblStyle w:val="18"/>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07"/>
        <w:gridCol w:w="68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验收期次</w:t>
            </w:r>
          </w:p>
        </w:tc>
        <w:tc>
          <w:tcPr>
            <w:tcW w:w="40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1</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符合合同要求及响应招标文件要求</w:t>
            </w:r>
          </w:p>
        </w:tc>
      </w:tr>
    </w:tbl>
    <w:p>
      <w:pPr>
        <w:widowControl/>
        <w:spacing w:before="75" w:after="75"/>
        <w:jc w:val="left"/>
        <w:rPr>
          <w:rFonts w:ascii="宋体" w:hAnsi="宋体" w:eastAsia="宋体" w:cs="宋体"/>
          <w:bCs/>
          <w:color w:val="auto"/>
          <w:kern w:val="0"/>
          <w:sz w:val="24"/>
          <w:highlight w:val="none"/>
        </w:rPr>
      </w:pPr>
      <w:r>
        <w:rPr>
          <w:rFonts w:ascii="宋体" w:hAnsi="宋体" w:eastAsia="宋体" w:cs="宋体"/>
          <w:bCs/>
          <w:color w:val="auto"/>
          <w:kern w:val="0"/>
          <w:sz w:val="24"/>
          <w:highlight w:val="none"/>
        </w:rPr>
        <w:t>7、支付方式数据表格</w:t>
      </w:r>
    </w:p>
    <w:tbl>
      <w:tblPr>
        <w:tblStyle w:val="18"/>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07"/>
        <w:gridCol w:w="1651"/>
        <w:gridCol w:w="51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支付期次</w:t>
            </w:r>
          </w:p>
        </w:tc>
        <w:tc>
          <w:tcPr>
            <w:tcW w:w="967"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支付比例(%)</w:t>
            </w:r>
          </w:p>
        </w:tc>
        <w:tc>
          <w:tcPr>
            <w:tcW w:w="3032"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1</w:t>
            </w:r>
          </w:p>
        </w:tc>
        <w:tc>
          <w:tcPr>
            <w:tcW w:w="967"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100</w:t>
            </w:r>
          </w:p>
        </w:tc>
        <w:tc>
          <w:tcPr>
            <w:tcW w:w="3032"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sz w:val="24"/>
                <w:highlight w:val="none"/>
              </w:rPr>
              <w:t>按合同要求，每月考评结果支付相应经费</w:t>
            </w:r>
          </w:p>
        </w:tc>
      </w:tr>
    </w:tbl>
    <w:p>
      <w:pPr>
        <w:pStyle w:val="4"/>
        <w:spacing w:before="0" w:after="0" w:line="240" w:lineRule="auto"/>
        <w:ind w:firstLine="240" w:firstLineChars="100"/>
        <w:outlineLvl w:val="9"/>
        <w:rPr>
          <w:rFonts w:ascii="宋体" w:hAnsi="宋体" w:eastAsia="宋体" w:cs="宋体"/>
          <w:b w:val="0"/>
          <w:bCs/>
          <w:color w:val="auto"/>
          <w:sz w:val="24"/>
          <w:highlight w:val="none"/>
        </w:rPr>
      </w:pPr>
    </w:p>
    <w:p>
      <w:pPr>
        <w:rPr>
          <w:color w:val="auto"/>
          <w:highlight w:val="none"/>
        </w:rPr>
      </w:pPr>
    </w:p>
    <w:p>
      <w:pPr>
        <w:widowControl/>
        <w:numPr>
          <w:ilvl w:val="0"/>
          <w:numId w:val="2"/>
        </w:numPr>
        <w:spacing w:before="75" w:after="75"/>
        <w:jc w:val="left"/>
        <w:rPr>
          <w:rFonts w:ascii="宋体" w:hAnsi="宋体" w:eastAsia="宋体" w:cs="宋体"/>
          <w:bCs/>
          <w:color w:val="auto"/>
          <w:sz w:val="24"/>
          <w:highlight w:val="none"/>
        </w:rPr>
      </w:pPr>
      <w:r>
        <w:rPr>
          <w:rFonts w:hint="eastAsia" w:ascii="宋体" w:hAnsi="宋体" w:eastAsia="宋体" w:cs="宋体"/>
          <w:color w:val="auto"/>
          <w:kern w:val="0"/>
          <w:sz w:val="24"/>
          <w:highlight w:val="none"/>
        </w:rPr>
        <w:t>其他事项</w:t>
      </w:r>
    </w:p>
    <w:p>
      <w:pPr>
        <w:pStyle w:val="2"/>
        <w:spacing w:line="240" w:lineRule="auto"/>
        <w:ind w:firstLine="0" w:firstLineChars="0"/>
        <w:jc w:val="left"/>
        <w:rPr>
          <w:color w:val="auto"/>
          <w:sz w:val="24"/>
          <w:szCs w:val="22"/>
          <w:highlight w:val="none"/>
        </w:rPr>
      </w:pPr>
      <w:bookmarkStart w:id="11" w:name="_Toc24374"/>
      <w:r>
        <w:rPr>
          <w:rFonts w:hint="eastAsia"/>
          <w:color w:val="auto"/>
          <w:sz w:val="24"/>
          <w:szCs w:val="22"/>
          <w:highlight w:val="none"/>
        </w:rPr>
        <w:t>【注意:“（一）服务期限及说明”、“（二）公厕保洁人员及污水抽吸转运配备人员工资、劳保、福利待遇等标准”、“（四）考核及其他要求”的条款均为不允许负偏离的实性质条款</w:t>
      </w:r>
      <w:r>
        <w:rPr>
          <w:rFonts w:hint="eastAsia"/>
          <w:color w:val="auto"/>
          <w:sz w:val="24"/>
          <w:szCs w:val="22"/>
          <w:highlight w:val="none"/>
          <w:lang w:eastAsia="zh-CN"/>
        </w:rPr>
        <w:t>，</w:t>
      </w:r>
      <w:r>
        <w:rPr>
          <w:rFonts w:hint="eastAsia"/>
          <w:color w:val="auto"/>
          <w:sz w:val="24"/>
          <w:szCs w:val="22"/>
          <w:highlight w:val="none"/>
          <w:lang w:val="en-US" w:eastAsia="zh-CN"/>
        </w:rPr>
        <w:t>负偏离按投标无效处理。</w:t>
      </w:r>
      <w:r>
        <w:rPr>
          <w:rFonts w:hint="eastAsia"/>
          <w:color w:val="auto"/>
          <w:sz w:val="24"/>
          <w:szCs w:val="22"/>
          <w:highlight w:val="none"/>
        </w:rPr>
        <w:t>投标人在投标文件中须针对以上内容在“商务条件响应表”中进行响应。若采购人发现中标人承诺的内容与真实情况不一致的违法违规行为，采购人有权取消其合同签订或终止合同，并报同级财政部门，因此给采购人造成损失的，中标人需另行支付相应的赔偿。】</w:t>
      </w:r>
      <w:bookmarkEnd w:id="11"/>
    </w:p>
    <w:p>
      <w:pPr>
        <w:pStyle w:val="4"/>
        <w:spacing w:before="0" w:after="0" w:line="240" w:lineRule="auto"/>
        <w:ind w:firstLine="241" w:firstLineChars="100"/>
        <w:rPr>
          <w:rFonts w:ascii="宋体" w:hAnsi="宋体" w:eastAsia="宋体" w:cs="宋体"/>
          <w:color w:val="auto"/>
          <w:sz w:val="24"/>
          <w:highlight w:val="none"/>
        </w:rPr>
      </w:pPr>
      <w:r>
        <w:rPr>
          <w:rFonts w:hint="eastAsia" w:ascii="宋体" w:hAnsi="宋体" w:eastAsia="宋体" w:cs="宋体"/>
          <w:color w:val="auto"/>
          <w:sz w:val="24"/>
          <w:highlight w:val="none"/>
        </w:rPr>
        <w:t>（一）服务期限及说明</w:t>
      </w:r>
      <w:bookmarkEnd w:id="10"/>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1.服务期限三年，合同总价必须按本项目中标价执行，采购人不接受任何价格调整的理由，投标人在投标报价时必须充分考虑到工资标准调整、物价上涨等影响本项目服务价格的因素，并承担相应的风险。</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2.本项目在合同履行期间，如遇政策性调整，所涉及的费用问题由业主单位协调处理，直到合同期满。</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3.本项目为政府采购项目，如果财政预算资金在每年的立项、审批等任何一个环节出现政策性调整，导致该项目不能按照中标金额正常支付时，采购人有权提前一个月以书面方式告知乙方单方面解除合同，并且无向中标人支付任何赔偿金或补偿金的责任义务。</w:t>
      </w:r>
    </w:p>
    <w:p>
      <w:pPr>
        <w:pStyle w:val="14"/>
        <w:spacing w:beforeAutospacing="0" w:afterAutospacing="0"/>
        <w:rPr>
          <w:rStyle w:val="29"/>
          <w:rFonts w:ascii="宋体" w:hAnsi="宋体" w:eastAsia="宋体" w:cs="宋体"/>
          <w:color w:val="auto"/>
          <w:sz w:val="24"/>
          <w:highlight w:val="none"/>
        </w:rPr>
      </w:pPr>
      <w:bookmarkStart w:id="12" w:name="_Toc13165"/>
      <w:r>
        <w:rPr>
          <w:rStyle w:val="29"/>
          <w:rFonts w:hint="eastAsia" w:ascii="宋体" w:hAnsi="宋体" w:eastAsia="宋体" w:cs="宋体"/>
          <w:color w:val="auto"/>
          <w:sz w:val="24"/>
          <w:highlight w:val="none"/>
        </w:rPr>
        <w:t>（二）公厕保</w:t>
      </w:r>
      <w:r>
        <w:rPr>
          <w:rStyle w:val="29"/>
          <w:rFonts w:hint="eastAsia" w:ascii="宋体" w:hAnsi="宋体" w:eastAsia="宋体" w:cs="宋体"/>
          <w:color w:val="auto"/>
          <w:kern w:val="2"/>
          <w:sz w:val="24"/>
          <w:highlight w:val="none"/>
        </w:rPr>
        <w:t>洁人员及污水抽吸转运配备人员工资、</w:t>
      </w:r>
      <w:r>
        <w:rPr>
          <w:rStyle w:val="29"/>
          <w:rFonts w:hint="eastAsia" w:ascii="宋体" w:hAnsi="宋体" w:eastAsia="宋体" w:cs="宋体"/>
          <w:color w:val="auto"/>
          <w:sz w:val="24"/>
          <w:highlight w:val="none"/>
        </w:rPr>
        <w:t>劳保、福利待遇等标准</w:t>
      </w:r>
      <w:bookmarkEnd w:id="12"/>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 xml:space="preserve"> 投标人应严格落实《劳动法》等有关法律法规，为员工办理相关保险（养老保险、医疗保险、失业保险、工伤保险和生育保险等），保障员工各项劳动权益，确保员工劳动待遇不低于招标确定的标准，投标方需在投标文件中对此项目要求进行明确承诺响应，</w:t>
      </w:r>
      <w:r>
        <w:rPr>
          <w:rFonts w:hint="eastAsia" w:ascii="宋体" w:hAnsi="宋体" w:eastAsia="宋体" w:cs="宋体"/>
          <w:b/>
          <w:bCs/>
          <w:color w:val="auto"/>
          <w:highlight w:val="none"/>
        </w:rPr>
        <w:t>否则视为无效投标</w:t>
      </w:r>
      <w:r>
        <w:rPr>
          <w:rFonts w:hint="eastAsia" w:ascii="宋体" w:hAnsi="宋体" w:eastAsia="宋体" w:cs="宋体"/>
          <w:color w:val="auto"/>
          <w:highlight w:val="none"/>
        </w:rPr>
        <w:t>。中标方承包服务期内，应严格执行此标准，若中标方在服务期内未按此条款要求执行出现保洁人员投诉现象，福州市台江区城管局有权单方面终止合同。</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公厕保洁人员基础工资：每班次保洁人员的基础工资（不含奖金、津贴、法定节假日补贴）不低于2236元/月(每座公厕两班制)。当我市最低工资标准提高时，按不低于福建省2020年平均最低每人工资1720元*130%*12个月发放（榕城管委综【2019】282号）。</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2.公厕保洁人员津补贴：（1）岗位津贴，每班次每天10元；总计250个工作日，每人2500/年，参考《福州市道路清扫保洁经费定额》（2） 年终奖金2236元；（3）法定节假日补贴11天，每天150元，即1650元/人/年。</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3.公厕保洁人员劳保费：504元/年/人，每年工作服四套、口罩、手套、防护服等劳保用品及时发放，体检费300元/年/人。</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4.污水抽吸转运驾驶员基础工资（不含奖金、高温补贴、法定节假日补贴）不低于5500元/月（参照2014年《福建省城镇道路清扫保洁作业指导价》）。</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5.污水抽吸转运辅助工的基础工资（不含奖金、高温补贴、法定节假日补贴）不低于3000元/月（参照2014年《福建省城镇道路清扫保洁作业指导价》）。</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6.污水抽吸转运驾驶员和辅助工高温补贴：5-9月共计5个月，260元/月，即1300元/人/年。《关于调整夏季高温津贴标准的通知》（榕城管委综【2019】282号）。</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7.污水抽吸转运驾驶员和辅助工劳保费：530元/年/人，工作服四套，单价120元，雨靴1双，单价50元，体检费300元/年/人。《福州市道路清扫保洁经费定额》，（榕城管委综【2019】282号）。</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8.缴纳“五险一金”(含养老保险、医疗保险、生育保险、失业保险、工伤保险、住房公积金)，需足额按最新规定缴交；</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9.人身意外险：在工伤保险基础上补充意外险100元/年。</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10.企业应组织工人成立工会，按规定缴交工会费，并在上级工会指导下开展工作,经费含在企业管理费里。</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11.雇主责任险保额不低于60万元,在企业管理费中列支。</w:t>
      </w:r>
    </w:p>
    <w:p>
      <w:pPr>
        <w:pStyle w:val="4"/>
        <w:spacing w:before="0" w:after="0" w:line="240" w:lineRule="auto"/>
        <w:ind w:firstLine="482" w:firstLineChars="200"/>
        <w:rPr>
          <w:rFonts w:ascii="宋体" w:hAnsi="宋体" w:eastAsia="宋体" w:cs="宋体"/>
          <w:color w:val="auto"/>
          <w:sz w:val="24"/>
          <w:highlight w:val="none"/>
        </w:rPr>
      </w:pPr>
      <w:bookmarkStart w:id="13" w:name="_Toc22689"/>
      <w:r>
        <w:rPr>
          <w:rFonts w:hint="eastAsia" w:ascii="宋体" w:hAnsi="宋体" w:eastAsia="宋体" w:cs="宋体"/>
          <w:color w:val="auto"/>
          <w:sz w:val="24"/>
          <w:highlight w:val="none"/>
        </w:rPr>
        <w:t>（三）报价要求</w:t>
      </w:r>
      <w:bookmarkEnd w:id="13"/>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投标总价以人民币报价，为三年的公厕管养（含污水抽吸转运）服务总费用。本项目服务费用采用包干制，包括人工费（人员工资、岗位津贴、法定节假日补贴、年终奖、高温费等）、规费（五险一金）、水电费、清渣维修费（公厕维护维修、清渣及疏通）、工具费（日常保洁工具、消杀器具、除臭去异味、绿植及药水费、公厕台账本、责任牌及管理标准牌等）、劳保费（服装、手套等）、人身意外险、体检费、卷纸、洗手液、企业管理费（管理人员工资、工会经费、雇主责任险等）、车辆折旧费、停车费、油耗、车辆维修保险、企业管理费、企业利润、企业税费等完成本项目所需的一切费。具体费用支出项目应包含但不限于《单座公厕市场化管养经费组成》和《污水抽吸转运服务费组成》所列内容。</w:t>
      </w:r>
    </w:p>
    <w:p>
      <w:pPr>
        <w:pStyle w:val="3"/>
        <w:spacing w:beforeAutospacing="0" w:afterAutospacing="0"/>
        <w:ind w:firstLine="482" w:firstLineChars="200"/>
        <w:rPr>
          <w:rFonts w:hint="default" w:cs="宋体"/>
          <w:color w:val="auto"/>
          <w:sz w:val="24"/>
          <w:szCs w:val="24"/>
          <w:highlight w:val="none"/>
        </w:rPr>
      </w:pPr>
      <w:bookmarkStart w:id="14" w:name="_Toc4844"/>
      <w:bookmarkStart w:id="15" w:name="_Toc4361"/>
      <w:r>
        <w:rPr>
          <w:rFonts w:cs="宋体"/>
          <w:color w:val="auto"/>
          <w:sz w:val="24"/>
          <w:szCs w:val="24"/>
          <w:highlight w:val="none"/>
        </w:rPr>
        <w:t>（四）考核及其他要求</w:t>
      </w:r>
      <w:bookmarkEnd w:id="14"/>
      <w:bookmarkEnd w:id="15"/>
    </w:p>
    <w:p>
      <w:pPr>
        <w:pStyle w:val="4"/>
        <w:spacing w:before="0" w:after="0" w:line="240" w:lineRule="auto"/>
        <w:ind w:firstLine="480" w:firstLineChars="200"/>
        <w:rPr>
          <w:rFonts w:ascii="宋体" w:hAnsi="宋体" w:eastAsia="宋体" w:cs="宋体"/>
          <w:color w:val="auto"/>
          <w:sz w:val="24"/>
          <w:highlight w:val="none"/>
        </w:rPr>
      </w:pPr>
      <w:bookmarkStart w:id="16" w:name="_Toc30344"/>
      <w:r>
        <w:rPr>
          <w:rFonts w:hint="eastAsia" w:ascii="宋体" w:hAnsi="宋体" w:eastAsia="宋体" w:cs="宋体"/>
          <w:b w:val="0"/>
          <w:bCs/>
          <w:color w:val="auto"/>
          <w:sz w:val="24"/>
          <w:highlight w:val="none"/>
        </w:rPr>
        <w:t>4.1 考核办法及支付方式</w:t>
      </w:r>
      <w:bookmarkEnd w:id="16"/>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4.1.</w:t>
      </w:r>
      <w:r>
        <w:rPr>
          <w:rFonts w:hint="eastAsia" w:ascii="宋体" w:hAnsi="宋体" w:eastAsia="宋体" w:cs="宋体"/>
          <w:color w:val="auto"/>
          <w:highlight w:val="none"/>
        </w:rPr>
        <w:t>1.中标人履约的第一个月为过渡期，只考核，要求限期整改，不扣管养经费（含污水抽吸转运）。第二个月后开始正式对企业进行考评，根据考核情况由采购人按照不同等级进行付款。</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4.1.</w:t>
      </w:r>
      <w:r>
        <w:rPr>
          <w:rFonts w:hint="eastAsia" w:ascii="宋体" w:hAnsi="宋体" w:eastAsia="宋体" w:cs="宋体"/>
          <w:color w:val="auto"/>
          <w:highlight w:val="none"/>
        </w:rPr>
        <w:t>2.实行绩效考核制进行付款：根据考核情况，按照不同等级进行付款，采购人在次月25号(遇法定公休节假日顺延)前以转帐方式按月结算支付前一个月管养经费(经考核扣除相应管养经费后的剩余经费)，考评评分标准见附件2:《福州市台江区公厕市场化管养考评评分标准》，考评办法见附件3：《福州市台江区污水抽吸转运考核项目与标准》。</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4.1.</w:t>
      </w:r>
      <w:r>
        <w:rPr>
          <w:rFonts w:hint="eastAsia" w:ascii="宋体" w:hAnsi="宋体" w:eastAsia="宋体" w:cs="宋体"/>
          <w:color w:val="auto"/>
          <w:highlight w:val="none"/>
        </w:rPr>
        <w:t>3.经费拨付标准</w:t>
      </w:r>
    </w:p>
    <w:p>
      <w:pPr>
        <w:adjustRightInd w:val="0"/>
        <w:snapToGrid w:val="0"/>
        <w:ind w:firstLine="480" w:firstLineChars="200"/>
        <w:rPr>
          <w:rFonts w:ascii="宋体" w:hAnsi="宋体" w:eastAsia="宋体" w:cs="宋体"/>
          <w:color w:val="auto"/>
          <w:sz w:val="24"/>
          <w:highlight w:val="none"/>
          <w:lang w:val="zh-CN"/>
        </w:rPr>
      </w:pPr>
      <w:r>
        <w:rPr>
          <w:rFonts w:hint="eastAsia" w:ascii="宋体" w:hAnsi="宋体" w:eastAsia="宋体" w:cs="宋体"/>
          <w:color w:val="auto"/>
          <w:sz w:val="24"/>
          <w:highlight w:val="none"/>
          <w:lang w:val="zh-CN"/>
        </w:rPr>
        <w:t>（1）月考核平均得分≥91分，全额核拨当月承包作业经费；</w:t>
      </w:r>
    </w:p>
    <w:p>
      <w:pPr>
        <w:adjustRightInd w:val="0"/>
        <w:snapToGrid w:val="0"/>
        <w:ind w:firstLine="480" w:firstLineChars="200"/>
        <w:rPr>
          <w:rFonts w:ascii="宋体" w:hAnsi="宋体" w:eastAsia="宋体" w:cs="宋体"/>
          <w:color w:val="auto"/>
          <w:sz w:val="24"/>
          <w:highlight w:val="none"/>
          <w:lang w:val="zh-CN"/>
        </w:rPr>
      </w:pPr>
      <w:r>
        <w:rPr>
          <w:rFonts w:hint="eastAsia" w:ascii="宋体" w:hAnsi="宋体" w:eastAsia="宋体" w:cs="宋体"/>
          <w:color w:val="auto"/>
          <w:sz w:val="24"/>
          <w:highlight w:val="none"/>
          <w:lang w:val="zh-CN"/>
        </w:rPr>
        <w:t>（2）86分≤月考核平均得分&lt;9l分的，以91分为基准，按照每低1分扣除当月承包作业经费1%的标准进行扣除；</w:t>
      </w:r>
    </w:p>
    <w:p>
      <w:pPr>
        <w:adjustRightInd w:val="0"/>
        <w:snapToGrid w:val="0"/>
        <w:ind w:firstLine="480" w:firstLineChars="200"/>
        <w:rPr>
          <w:rFonts w:ascii="宋体" w:hAnsi="宋体" w:eastAsia="宋体" w:cs="宋体"/>
          <w:color w:val="auto"/>
          <w:sz w:val="24"/>
          <w:highlight w:val="none"/>
          <w:lang w:val="zh-CN"/>
        </w:rPr>
      </w:pPr>
      <w:r>
        <w:rPr>
          <w:rFonts w:hint="eastAsia" w:ascii="宋体" w:hAnsi="宋体" w:eastAsia="宋体" w:cs="宋体"/>
          <w:color w:val="auto"/>
          <w:sz w:val="24"/>
          <w:highlight w:val="none"/>
          <w:lang w:val="zh-CN"/>
        </w:rPr>
        <w:t>（3）81分≤月考核平均得分&lt;86分的，以86分为基准，按照每低1分扣除当月承包作业经费2%的标准进行扣除：</w:t>
      </w:r>
    </w:p>
    <w:p>
      <w:pPr>
        <w:numPr>
          <w:ilvl w:val="0"/>
          <w:numId w:val="4"/>
        </w:numPr>
        <w:adjustRightInd w:val="0"/>
        <w:snapToGrid w:val="0"/>
        <w:ind w:firstLine="480" w:firstLineChars="200"/>
        <w:rPr>
          <w:rFonts w:ascii="宋体" w:hAnsi="宋体" w:eastAsia="宋体" w:cs="宋体"/>
          <w:color w:val="auto"/>
          <w:sz w:val="24"/>
          <w:highlight w:val="none"/>
          <w:lang w:val="zh-CN"/>
        </w:rPr>
      </w:pPr>
      <w:r>
        <w:rPr>
          <w:rFonts w:hint="eastAsia" w:ascii="宋体" w:hAnsi="宋体" w:eastAsia="宋体" w:cs="宋体"/>
          <w:color w:val="auto"/>
          <w:sz w:val="24"/>
          <w:highlight w:val="none"/>
          <w:lang w:val="zh-CN"/>
        </w:rPr>
        <w:t>月考核平均得分&lt;81分的，扣除当月承包作业经费的30%。</w:t>
      </w:r>
    </w:p>
    <w:p>
      <w:pPr>
        <w:adjustRightInd w:val="0"/>
        <w:snapToGrid w:val="0"/>
        <w:ind w:firstLine="480" w:firstLineChars="200"/>
        <w:rPr>
          <w:rFonts w:ascii="宋体" w:hAnsi="宋体" w:eastAsia="宋体" w:cs="宋体"/>
          <w:color w:val="auto"/>
          <w:sz w:val="24"/>
          <w:highlight w:val="none"/>
          <w:lang w:val="zh-CN"/>
        </w:rPr>
      </w:pPr>
      <w:r>
        <w:rPr>
          <w:rFonts w:hint="eastAsia" w:ascii="宋体" w:hAnsi="宋体" w:eastAsia="宋体" w:cs="宋体"/>
          <w:color w:val="auto"/>
          <w:sz w:val="24"/>
          <w:highlight w:val="none"/>
          <w:lang w:val="zh-CN"/>
        </w:rPr>
        <w:t>注：以上月考核平均得分取整数分值，不计小数点后数值。</w:t>
      </w:r>
    </w:p>
    <w:p>
      <w:pPr>
        <w:adjustRightInd w:val="0"/>
        <w:snapToGrid w:val="0"/>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lang w:val="zh-CN"/>
        </w:rPr>
        <w:t>（5）乙方有下列情形之一的，甲方有权终止采购合同，并没收</w:t>
      </w:r>
      <w:r>
        <w:rPr>
          <w:rFonts w:hint="eastAsia" w:ascii="宋体" w:hAnsi="宋体" w:eastAsia="宋体" w:cs="宋体"/>
          <w:color w:val="auto"/>
          <w:sz w:val="24"/>
          <w:highlight w:val="none"/>
        </w:rPr>
        <w:t>履约保证金：</w:t>
      </w:r>
    </w:p>
    <w:p>
      <w:pPr>
        <w:adjustRightInd w:val="0"/>
        <w:snapToGrid w:val="0"/>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A、不履行约定，造成公厕卫生质量差，一年内连续两次或累计三次月考核平均得分低于86分的。</w:t>
      </w:r>
    </w:p>
    <w:p>
      <w:pPr>
        <w:adjustRightInd w:val="0"/>
        <w:snapToGrid w:val="0"/>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B、不按时落实整改或经整改仍不到位，一年内累计三次以上的。</w:t>
      </w:r>
    </w:p>
    <w:p>
      <w:pPr>
        <w:adjustRightInd w:val="0"/>
        <w:snapToGrid w:val="0"/>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C 、乙方非法转包的。</w:t>
      </w:r>
    </w:p>
    <w:p>
      <w:pPr>
        <w:adjustRightInd w:val="0"/>
        <w:snapToGrid w:val="0"/>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D 、因公厕（含污水抽吸转运）问题被省、市领导及区主要领导连续通报两次的。</w:t>
      </w:r>
    </w:p>
    <w:p>
      <w:pPr>
        <w:adjustRightInd w:val="0"/>
        <w:snapToGrid w:val="0"/>
        <w:ind w:firstLine="480" w:firstLineChars="200"/>
        <w:rPr>
          <w:rFonts w:ascii="宋体" w:hAnsi="宋体" w:eastAsia="宋体" w:cs="宋体"/>
          <w:color w:val="auto"/>
          <w:sz w:val="24"/>
          <w:highlight w:val="none"/>
          <w:lang w:val="zh-CN"/>
        </w:rPr>
      </w:pPr>
      <w:r>
        <w:rPr>
          <w:rFonts w:hint="eastAsia" w:ascii="宋体" w:hAnsi="宋体" w:eastAsia="宋体" w:cs="宋体"/>
          <w:color w:val="auto"/>
          <w:sz w:val="24"/>
          <w:highlight w:val="none"/>
        </w:rPr>
        <w:t>E、</w:t>
      </w:r>
      <w:r>
        <w:rPr>
          <w:rFonts w:hint="eastAsia" w:ascii="宋体" w:hAnsi="宋体" w:eastAsia="宋体" w:cs="宋体"/>
          <w:color w:val="auto"/>
          <w:sz w:val="24"/>
          <w:highlight w:val="none"/>
          <w:lang w:val="zh-CN"/>
        </w:rPr>
        <w:t>因公厕</w:t>
      </w:r>
      <w:r>
        <w:rPr>
          <w:rFonts w:hint="eastAsia" w:ascii="宋体" w:hAnsi="宋体" w:eastAsia="宋体" w:cs="宋体"/>
          <w:color w:val="auto"/>
          <w:sz w:val="24"/>
          <w:highlight w:val="none"/>
        </w:rPr>
        <w:t>（含污水抽吸转运）</w:t>
      </w:r>
      <w:r>
        <w:rPr>
          <w:rFonts w:hint="eastAsia" w:ascii="宋体" w:hAnsi="宋体" w:eastAsia="宋体" w:cs="宋体"/>
          <w:color w:val="auto"/>
          <w:sz w:val="24"/>
          <w:highlight w:val="none"/>
          <w:lang w:val="zh-CN"/>
        </w:rPr>
        <w:t>问题被新闻媒体曝光两次的。</w:t>
      </w:r>
    </w:p>
    <w:p>
      <w:pPr>
        <w:adjustRightInd w:val="0"/>
        <w:snapToGrid w:val="0"/>
        <w:ind w:firstLine="480" w:firstLineChars="200"/>
        <w:rPr>
          <w:rFonts w:ascii="宋体" w:hAnsi="宋体" w:eastAsia="宋体" w:cs="宋体"/>
          <w:color w:val="auto"/>
          <w:sz w:val="24"/>
          <w:highlight w:val="none"/>
          <w:lang w:val="zh-CN"/>
        </w:rPr>
      </w:pPr>
      <w:r>
        <w:rPr>
          <w:rFonts w:hint="eastAsia" w:ascii="宋体" w:hAnsi="宋体" w:eastAsia="宋体" w:cs="宋体"/>
          <w:color w:val="auto"/>
          <w:sz w:val="24"/>
          <w:highlight w:val="none"/>
        </w:rPr>
        <w:t>F、</w:t>
      </w:r>
      <w:r>
        <w:rPr>
          <w:rFonts w:hint="eastAsia" w:ascii="宋体" w:hAnsi="宋体" w:eastAsia="宋体" w:cs="宋体"/>
          <w:color w:val="auto"/>
          <w:sz w:val="24"/>
          <w:highlight w:val="none"/>
          <w:lang w:val="zh-CN"/>
        </w:rPr>
        <w:t>如乙方被终止合同，三年内不得参与本区环卫招投标项目。</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4.1.</w:t>
      </w:r>
      <w:r>
        <w:rPr>
          <w:rFonts w:hint="eastAsia" w:ascii="宋体" w:hAnsi="宋体" w:eastAsia="宋体" w:cs="宋体"/>
          <w:color w:val="auto"/>
          <w:highlight w:val="none"/>
        </w:rPr>
        <w:t>4.中标人前一个月的管养经费（含污水抽吸转运）作为考核保证金，根据考核情况处罚后于次月25号前核付中标人，经费采用“先作业后拨付”的方式。污水抽吸转运费用结合洋里污水厂当月的数据报表和招标文件，按洋里污水处理厂当月的数据报表中接收污水的吨数按实付费。每月实际统计数据低于参考数量（例：日83吨*当月实际天数），按实际数据结算经费；若实际统计数据高于参考数量，超出部分不予结算，由中标人自行承担。</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4.1.</w:t>
      </w:r>
      <w:r>
        <w:rPr>
          <w:rFonts w:hint="eastAsia" w:ascii="宋体" w:hAnsi="宋体" w:eastAsia="宋体" w:cs="宋体"/>
          <w:color w:val="auto"/>
          <w:highlight w:val="none"/>
        </w:rPr>
        <w:t>5.管养经费（含污水抽吸转运）采取包干制，包干内容包括人工费（人员工资、岗位津贴、法定节假日补贴、年终奖、高温费等）、规费（五险一金）、水电费、清渣维修费（公厕维护维修、清渣及疏通）、工具费（日常保洁工具、消杀器具、除臭去异味、绿植及药水费、公厕台账本、责任牌及管理标准牌等）、劳保费（服装、手套等）、人身意外险、体检费、卷纸、洗手液、企业管理费（管理人员工资、工会经费、雇主责任险等）、车辆折旧费、停车费、油耗、车辆维修保险、企业管理费、企业利润、企业税费等完成本项目所需的一切费用。</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4.1.</w:t>
      </w:r>
      <w:r>
        <w:rPr>
          <w:rFonts w:hint="eastAsia" w:ascii="宋体" w:hAnsi="宋体" w:eastAsia="宋体" w:cs="宋体"/>
          <w:color w:val="auto"/>
          <w:highlight w:val="none"/>
        </w:rPr>
        <w:t>6.合同有效期满中标人未能继续获取管理养护作业时，中标人要积极配合与下一管理养护作业单位交接，设施设备要完好无损交付给采购人（除企业自行购买车辆外）。不得以任何方式阻碍交接，影响采购人正常工作。合同有效期满后的30天前，若中标人未与采购人或下一中标人办妥相关交接手续，采购人有权要求中标人完成相关工作交接后，再支付上月管养经费。采购人并有权要求中标人按每逾期一天500元支付逾期费用，该费用可在采购人应付的承包费中扣除。</w:t>
      </w:r>
    </w:p>
    <w:p>
      <w:pPr>
        <w:pStyle w:val="4"/>
        <w:spacing w:before="0" w:after="0" w:line="240" w:lineRule="auto"/>
        <w:ind w:firstLine="480" w:firstLineChars="200"/>
        <w:rPr>
          <w:rFonts w:ascii="宋体" w:hAnsi="宋体" w:eastAsia="宋体" w:cs="宋体"/>
          <w:b w:val="0"/>
          <w:bCs/>
          <w:color w:val="auto"/>
          <w:sz w:val="24"/>
          <w:highlight w:val="none"/>
        </w:rPr>
      </w:pPr>
      <w:bookmarkStart w:id="17" w:name="_Toc9132"/>
      <w:r>
        <w:rPr>
          <w:rFonts w:hint="eastAsia" w:ascii="宋体" w:hAnsi="宋体" w:eastAsia="宋体" w:cs="宋体"/>
          <w:b w:val="0"/>
          <w:bCs/>
          <w:color w:val="auto"/>
          <w:sz w:val="24"/>
          <w:highlight w:val="none"/>
        </w:rPr>
        <w:t>4.2违约责任</w:t>
      </w:r>
      <w:bookmarkEnd w:id="17"/>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4.2.</w:t>
      </w:r>
      <w:r>
        <w:rPr>
          <w:rFonts w:hint="eastAsia" w:ascii="宋体" w:hAnsi="宋体" w:eastAsia="宋体" w:cs="宋体"/>
          <w:color w:val="auto"/>
          <w:highlight w:val="none"/>
        </w:rPr>
        <w:t>1</w:t>
      </w:r>
      <w:r>
        <w:rPr>
          <w:rFonts w:hint="eastAsia" w:ascii="宋体" w:hAnsi="宋体" w:eastAsia="宋体" w:cs="宋体"/>
          <w:bCs/>
          <w:color w:val="auto"/>
          <w:highlight w:val="none"/>
        </w:rPr>
        <w:t>.</w:t>
      </w:r>
      <w:r>
        <w:rPr>
          <w:rFonts w:hint="eastAsia" w:ascii="宋体" w:hAnsi="宋体" w:eastAsia="宋体" w:cs="宋体"/>
          <w:color w:val="auto"/>
          <w:highlight w:val="none"/>
        </w:rPr>
        <w:t>因中标人原因造成承包合同无法按时签订，视为中标人违约，采购人有权终止合同；中标人违约对采购人造成的损失的，中标人还需另行支付相应的赔偿。</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4.2.</w:t>
      </w:r>
      <w:r>
        <w:rPr>
          <w:rFonts w:hint="eastAsia" w:ascii="宋体" w:hAnsi="宋体" w:eastAsia="宋体" w:cs="宋体"/>
          <w:color w:val="auto"/>
          <w:highlight w:val="none"/>
        </w:rPr>
        <w:t>2</w:t>
      </w:r>
      <w:r>
        <w:rPr>
          <w:rFonts w:hint="eastAsia" w:ascii="宋体" w:hAnsi="宋体" w:eastAsia="宋体" w:cs="宋体"/>
          <w:bCs/>
          <w:color w:val="auto"/>
          <w:highlight w:val="none"/>
        </w:rPr>
        <w:t>.</w:t>
      </w:r>
      <w:r>
        <w:rPr>
          <w:rFonts w:hint="eastAsia" w:ascii="宋体" w:hAnsi="宋体" w:eastAsia="宋体" w:cs="宋体"/>
          <w:color w:val="auto"/>
          <w:highlight w:val="none"/>
        </w:rPr>
        <w:t>在签定承包合同之后，中标人要求解除合同的，视为中标人违约，中标人违约对采购人造成的损失的，需另行支付相应的赔偿。</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4.2.</w:t>
      </w:r>
      <w:r>
        <w:rPr>
          <w:rFonts w:hint="eastAsia" w:ascii="宋体" w:hAnsi="宋体" w:eastAsia="宋体" w:cs="宋体"/>
          <w:color w:val="auto"/>
          <w:highlight w:val="none"/>
        </w:rPr>
        <w:t>3</w:t>
      </w:r>
      <w:r>
        <w:rPr>
          <w:rFonts w:hint="eastAsia" w:ascii="宋体" w:hAnsi="宋体" w:eastAsia="宋体" w:cs="宋体"/>
          <w:bCs/>
          <w:color w:val="auto"/>
          <w:highlight w:val="none"/>
        </w:rPr>
        <w:t>.</w:t>
      </w:r>
      <w:r>
        <w:rPr>
          <w:rFonts w:hint="eastAsia" w:ascii="宋体" w:hAnsi="宋体" w:eastAsia="宋体" w:cs="宋体"/>
          <w:color w:val="auto"/>
          <w:highlight w:val="none"/>
        </w:rPr>
        <w:t>因中标人原因发生重大质量事故，除依约承担赔偿责任外，还将按有关质量管理办法规定执行。同时，采购人有权保留更换中标人的权利，并报相关行政主管部门处罚。</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4.2.</w:t>
      </w:r>
      <w:r>
        <w:rPr>
          <w:rFonts w:hint="eastAsia" w:ascii="宋体" w:hAnsi="宋体" w:eastAsia="宋体" w:cs="宋体"/>
          <w:color w:val="auto"/>
          <w:highlight w:val="none"/>
        </w:rPr>
        <w:t>4</w:t>
      </w:r>
      <w:r>
        <w:rPr>
          <w:rFonts w:hint="eastAsia" w:ascii="宋体" w:hAnsi="宋体" w:eastAsia="宋体" w:cs="宋体"/>
          <w:bCs/>
          <w:color w:val="auto"/>
          <w:highlight w:val="none"/>
        </w:rPr>
        <w:t>.</w:t>
      </w:r>
      <w:r>
        <w:rPr>
          <w:rFonts w:hint="eastAsia" w:ascii="宋体" w:hAnsi="宋体" w:eastAsia="宋体" w:cs="宋体"/>
          <w:color w:val="auto"/>
          <w:highlight w:val="none"/>
        </w:rPr>
        <w:t>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保留更换中标人的权利，给采购人造成的损失，还应承担赔偿责任。</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4.2.</w:t>
      </w:r>
      <w:r>
        <w:rPr>
          <w:rFonts w:hint="eastAsia" w:ascii="宋体" w:hAnsi="宋体" w:eastAsia="宋体" w:cs="宋体"/>
          <w:color w:val="auto"/>
          <w:highlight w:val="none"/>
        </w:rPr>
        <w:t>5</w:t>
      </w:r>
      <w:r>
        <w:rPr>
          <w:rFonts w:hint="eastAsia" w:ascii="宋体" w:hAnsi="宋体" w:eastAsia="宋体" w:cs="宋体"/>
          <w:bCs/>
          <w:color w:val="auto"/>
          <w:highlight w:val="none"/>
        </w:rPr>
        <w:t>.</w:t>
      </w:r>
      <w:r>
        <w:rPr>
          <w:rFonts w:hint="eastAsia" w:ascii="宋体" w:hAnsi="宋体" w:eastAsia="宋体" w:cs="宋体"/>
          <w:color w:val="auto"/>
          <w:highlight w:val="none"/>
        </w:rPr>
        <w:t>在明确违约责任后，中标人应在接到书面通知书起七天内支付违约金、赔偿金等。</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4.2.</w:t>
      </w:r>
      <w:r>
        <w:rPr>
          <w:rFonts w:hint="eastAsia" w:ascii="宋体" w:hAnsi="宋体" w:eastAsia="宋体" w:cs="宋体"/>
          <w:color w:val="auto"/>
          <w:highlight w:val="none"/>
        </w:rPr>
        <w:t>6</w:t>
      </w:r>
      <w:r>
        <w:rPr>
          <w:rFonts w:hint="eastAsia" w:ascii="宋体" w:hAnsi="宋体" w:eastAsia="宋体" w:cs="宋体"/>
          <w:bCs/>
          <w:color w:val="auto"/>
          <w:highlight w:val="none"/>
        </w:rPr>
        <w:t>.</w:t>
      </w:r>
      <w:r>
        <w:rPr>
          <w:rFonts w:hint="eastAsia" w:ascii="宋体" w:hAnsi="宋体" w:eastAsia="宋体" w:cs="宋体"/>
          <w:color w:val="auto"/>
          <w:highlight w:val="none"/>
        </w:rPr>
        <w:t>本项目不允许中标人以任何名义和理由进行转包、分包，如有发现，采购人有权单方终止合同，并没收履约保证金。视为中标人违约，中标人违约对采购人造成的损失的，需另行支付相应的赔偿，并追究相关法律责任。</w:t>
      </w:r>
    </w:p>
    <w:p>
      <w:pPr>
        <w:pStyle w:val="4"/>
        <w:spacing w:before="0" w:after="0" w:line="240" w:lineRule="auto"/>
        <w:ind w:firstLine="480" w:firstLineChars="200"/>
        <w:rPr>
          <w:rFonts w:ascii="宋体" w:hAnsi="宋体" w:eastAsia="宋体" w:cs="宋体"/>
          <w:b w:val="0"/>
          <w:bCs/>
          <w:color w:val="auto"/>
          <w:sz w:val="24"/>
          <w:highlight w:val="none"/>
        </w:rPr>
      </w:pPr>
      <w:bookmarkStart w:id="18" w:name="_Toc9735"/>
      <w:r>
        <w:rPr>
          <w:rFonts w:hint="eastAsia" w:ascii="宋体" w:hAnsi="宋体" w:eastAsia="宋体" w:cs="宋体"/>
          <w:b w:val="0"/>
          <w:bCs/>
          <w:color w:val="auto"/>
          <w:sz w:val="24"/>
          <w:highlight w:val="none"/>
        </w:rPr>
        <w:t>4.3.其他要求</w:t>
      </w:r>
      <w:bookmarkEnd w:id="18"/>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4.3.</w:t>
      </w:r>
      <w:r>
        <w:rPr>
          <w:rFonts w:hint="eastAsia" w:ascii="宋体" w:hAnsi="宋体" w:eastAsia="宋体" w:cs="宋体"/>
          <w:color w:val="auto"/>
          <w:highlight w:val="none"/>
        </w:rPr>
        <w:t>1</w:t>
      </w:r>
      <w:r>
        <w:rPr>
          <w:rFonts w:hint="eastAsia" w:ascii="宋体" w:hAnsi="宋体" w:eastAsia="宋体" w:cs="宋体"/>
          <w:bCs/>
          <w:color w:val="auto"/>
          <w:highlight w:val="none"/>
        </w:rPr>
        <w:t>.</w:t>
      </w:r>
      <w:r>
        <w:rPr>
          <w:rFonts w:hint="eastAsia" w:ascii="宋体" w:hAnsi="宋体" w:eastAsia="宋体" w:cs="宋体"/>
          <w:color w:val="auto"/>
          <w:highlight w:val="none"/>
        </w:rPr>
        <w:t>关于现有保洁工人安置的问题。现有保洁工人如愿意留下，保洁公司应无条件予以接收，且三个月内不得辞退。</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4.3.</w:t>
      </w:r>
      <w:r>
        <w:rPr>
          <w:rFonts w:hint="eastAsia" w:ascii="宋体" w:hAnsi="宋体" w:eastAsia="宋体" w:cs="宋体"/>
          <w:color w:val="auto"/>
          <w:highlight w:val="none"/>
        </w:rPr>
        <w:t>2</w:t>
      </w:r>
      <w:r>
        <w:rPr>
          <w:rFonts w:hint="eastAsia" w:ascii="宋体" w:hAnsi="宋体" w:eastAsia="宋体" w:cs="宋体"/>
          <w:bCs/>
          <w:color w:val="auto"/>
          <w:highlight w:val="none"/>
        </w:rPr>
        <w:t>.</w:t>
      </w:r>
      <w:r>
        <w:rPr>
          <w:rFonts w:hint="eastAsia" w:ascii="宋体" w:hAnsi="宋体" w:eastAsia="宋体" w:cs="宋体"/>
          <w:color w:val="auto"/>
          <w:highlight w:val="none"/>
        </w:rPr>
        <w:t>投标人应保证不降低保洁人员工资待遇标准，必须按时支付员工工资，并严格落实《劳动法》，为员工办理相关保险(养老保险、医疗保险、失业保险、工伤保险和生育保险、人身意外伤害险等)，保障员工各项劳动权益。保洁人员经费，必须要安排用于工人劳动待遇和保障。</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4.3.</w:t>
      </w:r>
      <w:r>
        <w:rPr>
          <w:rFonts w:hint="eastAsia" w:ascii="宋体" w:hAnsi="宋体" w:eastAsia="宋体" w:cs="宋体"/>
          <w:color w:val="auto"/>
          <w:highlight w:val="none"/>
        </w:rPr>
        <w:t>3</w:t>
      </w:r>
      <w:r>
        <w:rPr>
          <w:rFonts w:hint="eastAsia" w:ascii="宋体" w:hAnsi="宋体" w:eastAsia="宋体" w:cs="宋体"/>
          <w:bCs/>
          <w:color w:val="auto"/>
          <w:highlight w:val="none"/>
        </w:rPr>
        <w:t>.</w:t>
      </w:r>
      <w:r>
        <w:rPr>
          <w:rFonts w:hint="eastAsia" w:ascii="宋体" w:hAnsi="宋体" w:eastAsia="宋体" w:cs="宋体"/>
          <w:color w:val="auto"/>
          <w:highlight w:val="none"/>
        </w:rPr>
        <w:t>采购方有权对中标方的资金投入情况进行监督。签订合同后10日内中标方必须向采购方提供作业人员名单，此名单与本项目招投标文件和中标方每月发放的人员工资、补贴、津贴和购买社保等情况将作为重要监管依据。</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4.3.</w:t>
      </w:r>
      <w:r>
        <w:rPr>
          <w:rFonts w:hint="eastAsia" w:ascii="宋体" w:hAnsi="宋体" w:eastAsia="宋体" w:cs="宋体"/>
          <w:color w:val="auto"/>
          <w:highlight w:val="none"/>
        </w:rPr>
        <w:t>4</w:t>
      </w:r>
      <w:r>
        <w:rPr>
          <w:rFonts w:hint="eastAsia" w:ascii="宋体" w:hAnsi="宋体" w:eastAsia="宋体" w:cs="宋体"/>
          <w:bCs/>
          <w:color w:val="auto"/>
          <w:highlight w:val="none"/>
        </w:rPr>
        <w:t>.</w:t>
      </w:r>
      <w:r>
        <w:rPr>
          <w:rFonts w:hint="eastAsia" w:ascii="宋体" w:hAnsi="宋体" w:eastAsia="宋体" w:cs="宋体"/>
          <w:color w:val="auto"/>
          <w:highlight w:val="none"/>
        </w:rPr>
        <w:t>投标人自行实地勘察。</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4.3.</w:t>
      </w:r>
      <w:r>
        <w:rPr>
          <w:rFonts w:hint="eastAsia" w:ascii="宋体" w:hAnsi="宋体" w:eastAsia="宋体" w:cs="宋体"/>
          <w:color w:val="auto"/>
          <w:highlight w:val="none"/>
        </w:rPr>
        <w:t>5</w:t>
      </w:r>
      <w:r>
        <w:rPr>
          <w:rFonts w:hint="eastAsia" w:ascii="宋体" w:hAnsi="宋体" w:eastAsia="宋体" w:cs="宋体"/>
          <w:bCs/>
          <w:color w:val="auto"/>
          <w:highlight w:val="none"/>
        </w:rPr>
        <w:t>.</w:t>
      </w:r>
      <w:r>
        <w:rPr>
          <w:rFonts w:hint="eastAsia" w:ascii="宋体" w:hAnsi="宋体" w:eastAsia="宋体" w:cs="宋体"/>
          <w:color w:val="auto"/>
          <w:highlight w:val="none"/>
        </w:rPr>
        <w:t>采购方有权对中标人进行实地勘察。</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4.3.</w:t>
      </w:r>
      <w:r>
        <w:rPr>
          <w:rFonts w:hint="eastAsia" w:ascii="宋体" w:hAnsi="宋体" w:eastAsia="宋体" w:cs="宋体"/>
          <w:color w:val="auto"/>
          <w:highlight w:val="none"/>
        </w:rPr>
        <w:t>6</w:t>
      </w:r>
      <w:r>
        <w:rPr>
          <w:rFonts w:hint="eastAsia" w:ascii="宋体" w:hAnsi="宋体" w:eastAsia="宋体" w:cs="宋体"/>
          <w:bCs/>
          <w:color w:val="auto"/>
          <w:highlight w:val="none"/>
        </w:rPr>
        <w:t>.</w:t>
      </w:r>
      <w:r>
        <w:rPr>
          <w:rFonts w:hint="eastAsia" w:ascii="宋体" w:hAnsi="宋体" w:eastAsia="宋体" w:cs="宋体"/>
          <w:color w:val="auto"/>
          <w:highlight w:val="none"/>
        </w:rPr>
        <w:t>中标方在合同执行期间，须接受采购方及其上级主管部门的监管。</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4.3.</w:t>
      </w:r>
      <w:r>
        <w:rPr>
          <w:rFonts w:hint="eastAsia" w:ascii="宋体" w:hAnsi="宋体" w:eastAsia="宋体" w:cs="宋体"/>
          <w:color w:val="auto"/>
          <w:highlight w:val="none"/>
        </w:rPr>
        <w:t>7</w:t>
      </w:r>
      <w:r>
        <w:rPr>
          <w:rFonts w:hint="eastAsia" w:ascii="宋体" w:hAnsi="宋体" w:eastAsia="宋体" w:cs="宋体"/>
          <w:bCs/>
          <w:color w:val="auto"/>
          <w:highlight w:val="none"/>
        </w:rPr>
        <w:t>.</w:t>
      </w:r>
      <w:r>
        <w:rPr>
          <w:rFonts w:hint="eastAsia" w:ascii="宋体" w:hAnsi="宋体" w:eastAsia="宋体" w:cs="宋体"/>
          <w:color w:val="auto"/>
          <w:highlight w:val="none"/>
        </w:rPr>
        <w:t>中标人须对其在服务期内所发生的安全生产、交通和其它所有安全事故负责，采购方不承担任何责任。</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bCs/>
          <w:color w:val="auto"/>
          <w:highlight w:val="none"/>
        </w:rPr>
        <w:t>4.3.</w:t>
      </w:r>
      <w:r>
        <w:rPr>
          <w:rFonts w:hint="eastAsia" w:ascii="宋体" w:hAnsi="宋体" w:eastAsia="宋体" w:cs="宋体"/>
          <w:color w:val="auto"/>
          <w:highlight w:val="none"/>
        </w:rPr>
        <w:t>8</w:t>
      </w:r>
      <w:r>
        <w:rPr>
          <w:rFonts w:hint="eastAsia" w:ascii="宋体" w:hAnsi="宋体" w:eastAsia="宋体" w:cs="宋体"/>
          <w:bCs/>
          <w:color w:val="auto"/>
          <w:highlight w:val="none"/>
        </w:rPr>
        <w:t>.</w:t>
      </w:r>
      <w:r>
        <w:rPr>
          <w:rFonts w:hint="eastAsia" w:ascii="宋体" w:hAnsi="宋体" w:eastAsia="宋体" w:cs="宋体"/>
          <w:color w:val="auto"/>
          <w:highlight w:val="none"/>
        </w:rPr>
        <w:t>今后如有新建或者改造公厕，按实际予以增减。新建成的公厕，根据公厕所在街道属地由区城管局（环卫中心）委托对应的公厕管养中标企业同步管养，管养经费按单座公厕实际中标金额增加。如有合同包内公厕改造、重建或拆除等，管养经费按单座公厕实际中标金额扣减。转运站点及公厕污水抽吸转运如涉及政府改造或停用等原因，按测算吨数予以扣减中标金额。</w:t>
      </w:r>
    </w:p>
    <w:p>
      <w:pPr>
        <w:jc w:val="left"/>
        <w:outlineLvl w:val="9"/>
        <w:rPr>
          <w:rFonts w:ascii="宋体" w:hAnsi="宋体" w:eastAsia="宋体" w:cs="宋体"/>
          <w:b/>
          <w:bCs/>
          <w:color w:val="auto"/>
          <w:sz w:val="24"/>
          <w:highlight w:val="none"/>
        </w:rPr>
      </w:pPr>
      <w:bookmarkStart w:id="19" w:name="_Toc419"/>
    </w:p>
    <w:p>
      <w:pPr>
        <w:jc w:val="left"/>
        <w:outlineLvl w:val="1"/>
        <w:rPr>
          <w:rFonts w:ascii="宋体" w:hAnsi="宋体" w:eastAsia="宋体" w:cs="宋体"/>
          <w:b/>
          <w:bCs/>
          <w:color w:val="auto"/>
          <w:sz w:val="24"/>
          <w:highlight w:val="none"/>
        </w:rPr>
      </w:pPr>
      <w:r>
        <w:rPr>
          <w:rFonts w:hint="eastAsia" w:ascii="宋体" w:hAnsi="宋体" w:eastAsia="宋体" w:cs="宋体"/>
          <w:b/>
          <w:bCs/>
          <w:color w:val="auto"/>
          <w:sz w:val="24"/>
          <w:highlight w:val="none"/>
        </w:rPr>
        <w:t>附件1：福州市台江区公厕市场化保洁作业标准</w:t>
      </w:r>
      <w:bookmarkEnd w:id="19"/>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一、作业总体标准</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（一）开放时间</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5:30至24:00。实行两班制，早班5:30-14:30（早餐时间：7:00-7:30，午餐时间：12:00-13:00）；晚班14:30-24:00（晚餐时间：18:00-19:00）。特殊情况按相关要求调整开放时间或作息时间。</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（二）日常人员安排</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每座公厕每班次一名保洁员在岗，实行定人、定岗、定量、定责制度，由片区管理人员实施长效监督管理。</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（三）日常保洁作业程序及标准</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 xml:space="preserve">1.日常保洁作业基本程序为：早擦夜冲、先里后外、先上后下、先湿后干。 </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 xml:space="preserve">2.日常保洁标准：“十无五有”标准。即：洗手间地面全时段无积水、无垃圾、无污渍，门窗墙壁无灰尘、无粘贴物，镜面台面无水迹，纸篓垃圾桶无满溢，小便斗、蹲坑无尿碱、无便渍，无臭味，公厕内有纸巾、有洗手液、有保洁员服务、有绿植、有定位，确保全时段无异味，打造精美化公厕样板，提升市民满意度。 </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（四）日常清洁注意事项</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1.卫生洁具多为陶瓷制品，禁止使用碱性清洁剂，以免损伤瓷面。</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2.卫生洁具容易破碎，清洁时不能用工具的坚硬部分撞击，也不能让重物落下因冲击而致使卫生器具破损。</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3.使用洁厕水和其他刺激性清洁剂时，应戴橡胶手套，以防止损伤皮肤。</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4.一旦发现卫生洁具或排水管道堵塞，应立即疏通。疏通时，应根据堵塞的严重程度和堵塞的部位采用相应的办法：如果堵塞不严重，堵塞部分在排水入口处，可用夹钳式铁丝钩取出堵塞物；如果堵塞物已进入排水的存水弯，可将排通器胶皮碗口竖压排水口，手持把柄，反复下压上抽，将其疏通，疏通时，应用湿布盖住地漏，以便形成真空而利于疏通。如果堵塞严重，应及时通知管道工疏通。</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5.如果发现洁具损坏，管道、阀门、龙头漏水，应及时通知维修工修理或更换。由于清洁工作的疏漏或使用日久，卫生间的卫生洁具、墙身或地面极易积有粪垢、尿渍、水锈和污垢，故必须定期进行去污除垢工作，以保证卫生间保持良好的卫生状况。</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二、作业详细流程标准</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根据公厕清扫保洁性质，将清洁分为每日例行清扫、工作期间随走随保与周期性大清洁三类。</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1.每日例行清洁。公厕每日例行清洁的主要内容是按清洁质量标准进行地面的清扫、卫生洁具的清洁、用具的擦洗等。每日例行清扫四次，时间为每日早上5:30-6:30、中午午13:30-14:30、傍晚17:00-18:00、晚上22:30-23:30。清洁程序：准备工作→放水冲刷大、小便器(槽)→收集废弃物+清洁大、小便器(槽)→清洁盥洗器具及其他设施→清扫地面→检查及整理。卫生间的清洁一般应“从上到下”、“从里到外”依次进行，对于单个器具的清洁，应按先内后外再对各附件进行清洁的顺序进行。</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2.工作期间随走随保。在人流量不大的情况下要求“随走随保”，即如厕人员出厕后保洁人员进厕清扫保洁；排队等候的情况下要求厕间一空即刻入内打扫。</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3.周期性大清洁。公厕的周期性大清洁是指在每日常规清洁的基础上有计划地定期对公厕的墙面、门窗、天花板、隔板(隔墙)、灯具及通风设备等进行清洁。每月必须进行周期性大清洁，由公司项目负责人、监督员与片区管理员共同监督实施。周期性大清洁可根据具体情况拟定计划，一般可每星期、每半月或每月安排一次，由片区负责人拟定出具体方案，包括具体的清扫时间、清扫内容和清扫重点，清扫结束后片区管理员总结清扫情况及发现的问题交于公司存档。清洁程序一般而言，应遵循从上至下的原则，即从天花板开始。</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4.公厕化粪池清渣。公厕化粪池每季度清理、疏通不少于1次，贮粪池内的粪污水应及时转运转运至粪便处理场所处置。吸粪车作业规范，车辆整洁、密闭性能良好，无粪污水外溢和滴漏问题。转运作业时，粪便不得污染水体和作业场地。化粪池、贮粪池周围场地应保持整洁，地面无粪迹、垃圾、污水、恶臭、蝇蛆。化粪池、贮粪池无满溢问题，若发生满溢问题应在第一时间予以解决。</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三、文明服务标准</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（一）仪容仪表</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 xml:space="preserve"> 1.服装：各岗位员工须着本岗位制服上岗，着装统一；制服应勤洗勤換,确保制服的干净、整洁、无污迹、油迹； 制服应完好无损.不开线,不掉扣。</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2.个人卫生：员工上岗前应整理个人卫生，做到整洁、干净、无异味；员工不得留长指甲，保持指甲干净。</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 xml:space="preserve"> 3.工作牌：员工佩戴工作牌，统一佩戴胸前，不歪斜；工作牌字迹清晰、完整；工作牌如有丢失，尽快向公司申请补办。 </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（二）礼节礼貌</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 xml:space="preserve"> 1.日常礼貌：对如厕者谦虚有礼，朴实大方，表情自然，面带微笑；上岗期间，不高声呼叫，大声喧哗，影响市容市貌；如刚拖洗完地面，遇如厕者如厕之时，应当提醒其小心行走，避免倒滑。 </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 xml:space="preserve"> 2.使用敬语：对如厕者要用请求、建议、劝告式语言，不准用否定、命令、训戒式语言；服务中要平心静气，有耐心，不与如厕者争吵；面对上级领导的检查应使用普通话和规范语言，不用俗语、俚语和粗语。</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 xml:space="preserve"> 3.多使用日常文明用语：你好，您好；谢谢；不客气，没关系。</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（三）严守纪律</w:t>
      </w:r>
    </w:p>
    <w:p>
      <w:pPr>
        <w:pStyle w:val="14"/>
        <w:spacing w:beforeAutospacing="0" w:afterAutospacing="0"/>
        <w:ind w:firstLine="480" w:firstLineChars="200"/>
        <w:rPr>
          <w:rFonts w:ascii="宋体" w:hAnsi="宋体" w:eastAsia="宋体" w:cs="宋体"/>
          <w:color w:val="auto"/>
          <w:highlight w:val="none"/>
        </w:rPr>
      </w:pPr>
      <w:r>
        <w:rPr>
          <w:rFonts w:hint="eastAsia" w:ascii="宋体" w:hAnsi="宋体" w:eastAsia="宋体" w:cs="宋体"/>
          <w:color w:val="auto"/>
          <w:highlight w:val="none"/>
        </w:rPr>
        <w:t>严格遵守工作时间,不迟到,不早退,不无故旷工,不擅离职守；严格遵守考勤制度，上岗前检查好个人服装，仪容仪表；上岗前不准喝酒和有异味食物,上岗时不喝带有酒精性饮料；上岗时不吃零食、吸烟、聊天打闹；不做与工作无关的事情。</w:t>
      </w:r>
    </w:p>
    <w:p>
      <w:pPr>
        <w:rPr>
          <w:rFonts w:ascii="宋体" w:hAnsi="宋体" w:eastAsia="宋体" w:cs="宋体"/>
          <w:color w:val="auto"/>
          <w:sz w:val="24"/>
          <w:highlight w:val="none"/>
        </w:rPr>
        <w:sectPr>
          <w:footerReference r:id="rId4" w:type="default"/>
          <w:pgSz w:w="11906" w:h="16838"/>
          <w:pgMar w:top="1440" w:right="1701" w:bottom="1440" w:left="1701" w:header="851" w:footer="992" w:gutter="0"/>
          <w:cols w:space="720" w:num="1"/>
          <w:docGrid w:type="lines" w:linePitch="312" w:charSpace="0"/>
        </w:sectPr>
      </w:pPr>
    </w:p>
    <w:p>
      <w:pPr>
        <w:pStyle w:val="14"/>
        <w:spacing w:beforeAutospacing="0" w:afterAutospacing="0"/>
        <w:rPr>
          <w:rFonts w:ascii="宋体" w:hAnsi="宋体" w:eastAsia="宋体" w:cs="宋体"/>
          <w:b/>
          <w:bCs/>
          <w:color w:val="auto"/>
          <w:highlight w:val="none"/>
        </w:rPr>
      </w:pPr>
      <w:r>
        <w:rPr>
          <w:rFonts w:hint="eastAsia" w:ascii="宋体" w:hAnsi="宋体" w:eastAsia="宋体" w:cs="宋体"/>
          <w:b/>
          <w:bCs/>
          <w:color w:val="auto"/>
          <w:highlight w:val="none"/>
        </w:rPr>
        <w:t>附件2:《福州市台江区公厕市场化管养考评评分标准》</w:t>
      </w:r>
    </w:p>
    <w:tbl>
      <w:tblPr>
        <w:tblStyle w:val="18"/>
        <w:tblW w:w="14776" w:type="dxa"/>
        <w:jc w:val="center"/>
        <w:tblLayout w:type="fixed"/>
        <w:tblCellMar>
          <w:top w:w="0" w:type="dxa"/>
          <w:left w:w="108" w:type="dxa"/>
          <w:bottom w:w="0" w:type="dxa"/>
          <w:right w:w="108" w:type="dxa"/>
        </w:tblCellMar>
      </w:tblPr>
      <w:tblGrid>
        <w:gridCol w:w="1471"/>
        <w:gridCol w:w="13305"/>
      </w:tblGrid>
      <w:tr>
        <w:tblPrEx>
          <w:tblCellMar>
            <w:top w:w="0" w:type="dxa"/>
            <w:left w:w="108" w:type="dxa"/>
            <w:bottom w:w="0" w:type="dxa"/>
            <w:right w:w="108" w:type="dxa"/>
          </w:tblCellMar>
        </w:tblPrEx>
        <w:trPr>
          <w:trHeight w:val="448" w:hRule="atLeast"/>
          <w:jc w:val="center"/>
        </w:trPr>
        <w:tc>
          <w:tcPr>
            <w:tcW w:w="14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检查项目</w:t>
            </w:r>
          </w:p>
        </w:tc>
        <w:tc>
          <w:tcPr>
            <w:tcW w:w="1330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评分标准</w:t>
            </w:r>
          </w:p>
        </w:tc>
      </w:tr>
      <w:tr>
        <w:tblPrEx>
          <w:tblCellMar>
            <w:top w:w="0" w:type="dxa"/>
            <w:left w:w="108" w:type="dxa"/>
            <w:bottom w:w="0" w:type="dxa"/>
            <w:right w:w="108" w:type="dxa"/>
          </w:tblCellMar>
        </w:tblPrEx>
        <w:trPr>
          <w:trHeight w:val="448" w:hRule="atLeast"/>
          <w:jc w:val="center"/>
        </w:trPr>
        <w:tc>
          <w:tcPr>
            <w:tcW w:w="147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责任明确      制度完善    （10分）</w:t>
            </w: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1、未设置制度牌、标志牌扣3分，制度牌、标志牌破损或悬挂不整齐，扣2分；</w:t>
            </w:r>
          </w:p>
        </w:tc>
      </w:tr>
      <w:tr>
        <w:tblPrEx>
          <w:tblCellMar>
            <w:top w:w="0" w:type="dxa"/>
            <w:left w:w="108" w:type="dxa"/>
            <w:bottom w:w="0" w:type="dxa"/>
            <w:right w:w="108" w:type="dxa"/>
          </w:tblCellMar>
        </w:tblPrEx>
        <w:trPr>
          <w:trHeight w:val="90" w:hRule="atLeast"/>
          <w:jc w:val="center"/>
        </w:trPr>
        <w:tc>
          <w:tcPr>
            <w:tcW w:w="147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2、服务员未穿工作服或无挂工作牌上岗，扣2分；在工作场所做私活扣2分；脱岗15分钟以上扣5分；</w:t>
            </w:r>
          </w:p>
        </w:tc>
      </w:tr>
      <w:tr>
        <w:tblPrEx>
          <w:tblCellMar>
            <w:top w:w="0" w:type="dxa"/>
            <w:left w:w="108" w:type="dxa"/>
            <w:bottom w:w="0" w:type="dxa"/>
            <w:right w:w="108" w:type="dxa"/>
          </w:tblCellMar>
        </w:tblPrEx>
        <w:trPr>
          <w:trHeight w:val="448" w:hRule="atLeast"/>
          <w:jc w:val="center"/>
        </w:trPr>
        <w:tc>
          <w:tcPr>
            <w:tcW w:w="147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3、迟开门、早关门，无故关门，扣3分；无故关闭特需间，扣3分。</w:t>
            </w:r>
          </w:p>
        </w:tc>
      </w:tr>
      <w:tr>
        <w:tblPrEx>
          <w:tblCellMar>
            <w:top w:w="0" w:type="dxa"/>
            <w:left w:w="108" w:type="dxa"/>
            <w:bottom w:w="0" w:type="dxa"/>
            <w:right w:w="108" w:type="dxa"/>
          </w:tblCellMar>
        </w:tblPrEx>
        <w:trPr>
          <w:trHeight w:val="478" w:hRule="atLeast"/>
          <w:jc w:val="center"/>
        </w:trPr>
        <w:tc>
          <w:tcPr>
            <w:tcW w:w="147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设施齐全      设备完好     （15分）</w:t>
            </w: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4、厕内设施如门窗破损，水电设备丢失、破损，提示告知牌破损，灯不亮未及时维修的每处扣2分；（维修通知到位后24小时之内整改完成）</w:t>
            </w:r>
          </w:p>
        </w:tc>
      </w:tr>
      <w:tr>
        <w:tblPrEx>
          <w:tblCellMar>
            <w:top w:w="0" w:type="dxa"/>
            <w:left w:w="108" w:type="dxa"/>
            <w:bottom w:w="0" w:type="dxa"/>
            <w:right w:w="108" w:type="dxa"/>
          </w:tblCellMar>
        </w:tblPrEx>
        <w:trPr>
          <w:trHeight w:val="448" w:hRule="atLeast"/>
          <w:jc w:val="center"/>
        </w:trPr>
        <w:tc>
          <w:tcPr>
            <w:tcW w:w="147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5、无消毒箱或消毒工具、药水不齐全，每项扣2分；</w:t>
            </w:r>
          </w:p>
        </w:tc>
      </w:tr>
      <w:tr>
        <w:tblPrEx>
          <w:tblCellMar>
            <w:top w:w="0" w:type="dxa"/>
            <w:left w:w="108" w:type="dxa"/>
            <w:bottom w:w="0" w:type="dxa"/>
            <w:right w:w="108" w:type="dxa"/>
          </w:tblCellMar>
        </w:tblPrEx>
        <w:trPr>
          <w:trHeight w:val="193" w:hRule="atLeast"/>
          <w:jc w:val="center"/>
        </w:trPr>
        <w:tc>
          <w:tcPr>
            <w:tcW w:w="147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6、管道堵塞、化粪池满溢，未及时上报进行清渣疏通的，扣5分。</w:t>
            </w:r>
          </w:p>
        </w:tc>
      </w:tr>
      <w:tr>
        <w:tblPrEx>
          <w:tblCellMar>
            <w:top w:w="0" w:type="dxa"/>
            <w:left w:w="108" w:type="dxa"/>
            <w:bottom w:w="0" w:type="dxa"/>
            <w:right w:w="108" w:type="dxa"/>
          </w:tblCellMar>
        </w:tblPrEx>
        <w:trPr>
          <w:trHeight w:val="643" w:hRule="atLeast"/>
          <w:jc w:val="center"/>
        </w:trPr>
        <w:tc>
          <w:tcPr>
            <w:tcW w:w="147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保洁及时      卫生良好    （40分）</w:t>
            </w: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7、地面有烟头、纸屑、痰迹、尿液等丢弃物，未及时保洁的每处扣2分；花格、门窗、玻璃、墙壁有积尘，扣2分；制度牌、标志牌有污迹，扣2分</w:t>
            </w:r>
          </w:p>
        </w:tc>
      </w:tr>
      <w:tr>
        <w:tblPrEx>
          <w:tblCellMar>
            <w:top w:w="0" w:type="dxa"/>
            <w:left w:w="108" w:type="dxa"/>
            <w:bottom w:w="0" w:type="dxa"/>
            <w:right w:w="108" w:type="dxa"/>
          </w:tblCellMar>
        </w:tblPrEx>
        <w:trPr>
          <w:trHeight w:val="343" w:hRule="atLeast"/>
          <w:jc w:val="center"/>
        </w:trPr>
        <w:tc>
          <w:tcPr>
            <w:tcW w:w="147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8、蹲位上及便池有粪迹，大便槽、便盆有积粪，每蹲位扣3分；</w:t>
            </w:r>
          </w:p>
        </w:tc>
      </w:tr>
      <w:tr>
        <w:tblPrEx>
          <w:tblCellMar>
            <w:top w:w="0" w:type="dxa"/>
            <w:left w:w="108" w:type="dxa"/>
            <w:bottom w:w="0" w:type="dxa"/>
            <w:right w:w="108" w:type="dxa"/>
          </w:tblCellMar>
        </w:tblPrEx>
        <w:trPr>
          <w:trHeight w:val="448" w:hRule="atLeast"/>
          <w:jc w:val="center"/>
        </w:trPr>
        <w:tc>
          <w:tcPr>
            <w:tcW w:w="147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9、小便槽有尿碱每个扣2分；</w:t>
            </w:r>
          </w:p>
        </w:tc>
      </w:tr>
      <w:tr>
        <w:tblPrEx>
          <w:tblCellMar>
            <w:top w:w="0" w:type="dxa"/>
            <w:left w:w="108" w:type="dxa"/>
            <w:bottom w:w="0" w:type="dxa"/>
            <w:right w:w="108" w:type="dxa"/>
          </w:tblCellMar>
        </w:tblPrEx>
        <w:trPr>
          <w:trHeight w:val="448" w:hRule="atLeast"/>
          <w:jc w:val="center"/>
        </w:trPr>
        <w:tc>
          <w:tcPr>
            <w:tcW w:w="147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10、倒粪口保洁不及时，有粪迹，扣2分；</w:t>
            </w:r>
          </w:p>
        </w:tc>
      </w:tr>
      <w:tr>
        <w:tblPrEx>
          <w:tblCellMar>
            <w:top w:w="0" w:type="dxa"/>
            <w:left w:w="108" w:type="dxa"/>
            <w:bottom w:w="0" w:type="dxa"/>
            <w:right w:w="108" w:type="dxa"/>
          </w:tblCellMar>
        </w:tblPrEx>
        <w:trPr>
          <w:trHeight w:val="313" w:hRule="atLeast"/>
          <w:jc w:val="center"/>
        </w:trPr>
        <w:tc>
          <w:tcPr>
            <w:tcW w:w="147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11、消杀不力，厕内发现有蛆虫扣5分，苍蝇、飞虫等扣2分；公厕异味重的，扣5分。</w:t>
            </w:r>
          </w:p>
        </w:tc>
      </w:tr>
      <w:tr>
        <w:tblPrEx>
          <w:tblCellMar>
            <w:top w:w="0" w:type="dxa"/>
            <w:left w:w="108" w:type="dxa"/>
            <w:bottom w:w="0" w:type="dxa"/>
            <w:right w:w="108" w:type="dxa"/>
          </w:tblCellMar>
        </w:tblPrEx>
        <w:trPr>
          <w:trHeight w:val="313" w:hRule="atLeast"/>
          <w:jc w:val="center"/>
        </w:trPr>
        <w:tc>
          <w:tcPr>
            <w:tcW w:w="147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管理到位       整洁有序    （25分）</w:t>
            </w: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12、隔板、独立门有污迹、乱涂写、乱张贴的，每处扣2分；管理间杂乱、工具摆放散乱，扣3分；</w:t>
            </w:r>
          </w:p>
        </w:tc>
      </w:tr>
      <w:tr>
        <w:tblPrEx>
          <w:tblCellMar>
            <w:top w:w="0" w:type="dxa"/>
            <w:left w:w="108" w:type="dxa"/>
            <w:bottom w:w="0" w:type="dxa"/>
            <w:right w:w="108" w:type="dxa"/>
          </w:tblCellMar>
        </w:tblPrEx>
        <w:trPr>
          <w:trHeight w:val="433" w:hRule="atLeast"/>
          <w:jc w:val="center"/>
        </w:trPr>
        <w:tc>
          <w:tcPr>
            <w:tcW w:w="147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13、在厕内饲养家禽和宠物，扣5分；</w:t>
            </w:r>
          </w:p>
        </w:tc>
      </w:tr>
      <w:tr>
        <w:tblPrEx>
          <w:tblCellMar>
            <w:top w:w="0" w:type="dxa"/>
            <w:left w:w="108" w:type="dxa"/>
            <w:bottom w:w="0" w:type="dxa"/>
            <w:right w:w="108" w:type="dxa"/>
          </w:tblCellMar>
        </w:tblPrEx>
        <w:trPr>
          <w:trHeight w:val="448" w:hRule="atLeast"/>
          <w:jc w:val="center"/>
        </w:trPr>
        <w:tc>
          <w:tcPr>
            <w:tcW w:w="147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14、公厕周边(3米内)环境脏乱，晾晒衣物等，每处扣3分。</w:t>
            </w:r>
          </w:p>
        </w:tc>
      </w:tr>
      <w:tr>
        <w:tblPrEx>
          <w:tblCellMar>
            <w:top w:w="0" w:type="dxa"/>
            <w:left w:w="108" w:type="dxa"/>
            <w:bottom w:w="0" w:type="dxa"/>
            <w:right w:w="108" w:type="dxa"/>
          </w:tblCellMar>
        </w:tblPrEx>
        <w:trPr>
          <w:trHeight w:val="558" w:hRule="atLeast"/>
          <w:jc w:val="center"/>
        </w:trPr>
        <w:tc>
          <w:tcPr>
            <w:tcW w:w="147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文明作业     优质服务   （10分）</w:t>
            </w: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15、服务态度差，与就厕人员争吵，造成不良影响的，扣5分；</w:t>
            </w:r>
          </w:p>
        </w:tc>
      </w:tr>
      <w:tr>
        <w:tblPrEx>
          <w:tblCellMar>
            <w:top w:w="0" w:type="dxa"/>
            <w:left w:w="108" w:type="dxa"/>
            <w:bottom w:w="0" w:type="dxa"/>
            <w:right w:w="108" w:type="dxa"/>
          </w:tblCellMar>
        </w:tblPrEx>
        <w:trPr>
          <w:trHeight w:val="326" w:hRule="atLeast"/>
          <w:jc w:val="center"/>
        </w:trPr>
        <w:tc>
          <w:tcPr>
            <w:tcW w:w="147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16、未提供手纸，扣1分，未提供洗手液，扣1分，强卖手纸或变相收费，扣5分。</w:t>
            </w:r>
          </w:p>
        </w:tc>
      </w:tr>
      <w:tr>
        <w:tblPrEx>
          <w:tblCellMar>
            <w:top w:w="0" w:type="dxa"/>
            <w:left w:w="108" w:type="dxa"/>
            <w:bottom w:w="0" w:type="dxa"/>
            <w:right w:w="108" w:type="dxa"/>
          </w:tblCellMar>
        </w:tblPrEx>
        <w:trPr>
          <w:trHeight w:val="104" w:hRule="atLeast"/>
          <w:jc w:val="center"/>
        </w:trPr>
        <w:tc>
          <w:tcPr>
            <w:tcW w:w="1471"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重大事项</w:t>
            </w:r>
          </w:p>
        </w:tc>
        <w:tc>
          <w:tcPr>
            <w:tcW w:w="13305"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17、凡各级领导批评或新闻媒体通报、被群众投诉，经查情况属实的，一次扣10分，再次出现类似情况，必须辞退公厕服务员。被市级（含）以上考评减分的，扣10分。重大活动或检查保障不力的扣除当月经费的5%。</w:t>
            </w:r>
          </w:p>
        </w:tc>
      </w:tr>
    </w:tbl>
    <w:p>
      <w:pPr>
        <w:rPr>
          <w:rFonts w:ascii="宋体" w:hAnsi="宋体" w:eastAsia="宋体" w:cs="宋体"/>
          <w:color w:val="auto"/>
          <w:sz w:val="24"/>
          <w:highlight w:val="none"/>
        </w:rPr>
        <w:sectPr>
          <w:footerReference r:id="rId5" w:type="default"/>
          <w:pgSz w:w="16838" w:h="11906" w:orient="landscape"/>
          <w:pgMar w:top="850" w:right="873" w:bottom="850" w:left="873" w:header="851" w:footer="992" w:gutter="0"/>
          <w:cols w:space="425" w:num="1"/>
          <w:docGrid w:type="lines" w:linePitch="312" w:charSpace="0"/>
        </w:sectPr>
      </w:pPr>
      <w:r>
        <w:rPr>
          <w:rFonts w:hint="eastAsia" w:ascii="宋体" w:hAnsi="宋体" w:eastAsia="宋体" w:cs="宋体"/>
          <w:color w:val="auto"/>
          <w:sz w:val="24"/>
          <w:highlight w:val="none"/>
        </w:rPr>
        <w:br w:type="page"/>
      </w:r>
    </w:p>
    <w:p>
      <w:pPr>
        <w:rPr>
          <w:rFonts w:ascii="宋体" w:hAnsi="宋体" w:eastAsia="宋体" w:cs="宋体"/>
          <w:color w:val="auto"/>
          <w:sz w:val="24"/>
          <w:highlight w:val="none"/>
        </w:rPr>
      </w:pPr>
    </w:p>
    <w:p>
      <w:pPr>
        <w:rPr>
          <w:rFonts w:ascii="宋体" w:hAnsi="宋体" w:eastAsia="宋体" w:cs="宋体"/>
          <w:b/>
          <w:bCs/>
          <w:color w:val="auto"/>
          <w:sz w:val="24"/>
          <w:highlight w:val="none"/>
        </w:rPr>
      </w:pPr>
      <w:r>
        <w:rPr>
          <w:rFonts w:hint="eastAsia" w:ascii="宋体" w:hAnsi="宋体" w:eastAsia="宋体" w:cs="宋体"/>
          <w:b/>
          <w:bCs/>
          <w:color w:val="auto"/>
          <w:sz w:val="24"/>
          <w:highlight w:val="none"/>
        </w:rPr>
        <w:t>附件3：《福州市台江区污水抽吸转运考核项目与标准》</w:t>
      </w:r>
    </w:p>
    <w:p>
      <w:pPr>
        <w:pStyle w:val="14"/>
        <w:widowControl/>
        <w:spacing w:beforeAutospacing="0" w:afterAutospacing="0"/>
        <w:jc w:val="both"/>
        <w:rPr>
          <w:rFonts w:ascii="宋体" w:hAnsi="宋体" w:eastAsia="宋体" w:cs="宋体"/>
          <w:color w:val="auto"/>
          <w:highlight w:val="none"/>
        </w:rPr>
      </w:pPr>
      <w:r>
        <w:rPr>
          <w:rFonts w:hint="eastAsia" w:ascii="宋体" w:hAnsi="宋体" w:eastAsia="宋体" w:cs="宋体"/>
          <w:color w:val="auto"/>
          <w:highlight w:val="none"/>
        </w:rPr>
        <w:t>公司名称：                      考核时间：   年  月  日</w:t>
      </w:r>
    </w:p>
    <w:tbl>
      <w:tblPr>
        <w:tblStyle w:val="18"/>
        <w:tblW w:w="8783"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87"/>
        <w:gridCol w:w="6984"/>
        <w:gridCol w:w="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tcBorders>
              <w:top w:val="single" w:color="auto" w:sz="6" w:space="0"/>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jc w:val="center"/>
              <w:rPr>
                <w:rFonts w:ascii="宋体" w:hAnsi="宋体" w:eastAsia="宋体" w:cs="宋体"/>
                <w:color w:val="auto"/>
                <w:highlight w:val="none"/>
              </w:rPr>
            </w:pPr>
            <w:r>
              <w:rPr>
                <w:rStyle w:val="20"/>
                <w:rFonts w:hint="eastAsia" w:ascii="宋体" w:hAnsi="宋体" w:eastAsia="宋体" w:cs="宋体"/>
                <w:bCs/>
                <w:color w:val="auto"/>
                <w:highlight w:val="none"/>
              </w:rPr>
              <w:t>项目</w:t>
            </w:r>
          </w:p>
        </w:tc>
        <w:tc>
          <w:tcPr>
            <w:tcW w:w="6954" w:type="dxa"/>
            <w:tcBorders>
              <w:top w:val="single" w:color="auto" w:sz="6" w:space="0"/>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jc w:val="center"/>
              <w:rPr>
                <w:rFonts w:ascii="宋体" w:hAnsi="宋体" w:eastAsia="宋体" w:cs="宋体"/>
                <w:color w:val="auto"/>
                <w:highlight w:val="none"/>
              </w:rPr>
            </w:pPr>
            <w:r>
              <w:rPr>
                <w:rStyle w:val="20"/>
                <w:rFonts w:hint="eastAsia" w:ascii="宋体" w:hAnsi="宋体" w:eastAsia="宋体" w:cs="宋体"/>
                <w:bCs/>
                <w:color w:val="auto"/>
                <w:highlight w:val="none"/>
              </w:rPr>
              <w:t>评分标准</w:t>
            </w:r>
          </w:p>
        </w:tc>
        <w:tc>
          <w:tcPr>
            <w:tcW w:w="867" w:type="dxa"/>
            <w:tcBorders>
              <w:top w:val="single" w:color="auto" w:sz="6" w:space="0"/>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jc w:val="center"/>
              <w:rPr>
                <w:rFonts w:ascii="宋体" w:hAnsi="宋体" w:eastAsia="宋体" w:cs="宋体"/>
                <w:color w:val="auto"/>
                <w:highlight w:val="none"/>
              </w:rPr>
            </w:pPr>
            <w:r>
              <w:rPr>
                <w:rStyle w:val="20"/>
                <w:rFonts w:hint="eastAsia" w:ascii="宋体" w:hAnsi="宋体" w:eastAsia="宋体" w:cs="宋体"/>
                <w:bCs/>
                <w:color w:val="auto"/>
                <w:highlight w:val="none"/>
              </w:rPr>
              <w:t>扣分情况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restart"/>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1、吸粪车管理</w:t>
            </w: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(1)、吸粪车污水爆满的，每发现一辆扣2分。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continue"/>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rPr>
                <w:rFonts w:ascii="宋体" w:hAnsi="宋体" w:eastAsia="宋体" w:cs="宋体"/>
                <w:color w:val="auto"/>
                <w:sz w:val="24"/>
                <w:highlight w:val="none"/>
              </w:rPr>
            </w:pP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(2)、每日作业完毕后，须对吸粪车进行清洗，车厢不洁或车厢尾部不洁，每发现1辆扣1分，车辆脏无法看清的，每发现1辆扣2分。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continue"/>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rPr>
                <w:rFonts w:ascii="宋体" w:hAnsi="宋体" w:eastAsia="宋体" w:cs="宋体"/>
                <w:color w:val="auto"/>
                <w:sz w:val="24"/>
                <w:highlight w:val="none"/>
              </w:rPr>
            </w:pP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(3)、吸粪车污水箱每周须检修1次，污水箱长期未使用、未清洗疏通的，每发现一辆扣1分。严重造成污水滴漏的，加扣2分。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continue"/>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rPr>
                <w:rFonts w:ascii="宋体" w:hAnsi="宋体" w:eastAsia="宋体" w:cs="宋体"/>
                <w:color w:val="auto"/>
                <w:sz w:val="24"/>
                <w:highlight w:val="none"/>
              </w:rPr>
            </w:pP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(4)、吸粪车污水阀门每周需检修1次，污水开关未关或损坏未及时维修更换的，每发现1辆扣1分，严重造成污水滴漏的，加扣2分。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continue"/>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rPr>
                <w:rFonts w:ascii="宋体" w:hAnsi="宋体" w:eastAsia="宋体" w:cs="宋体"/>
                <w:color w:val="auto"/>
                <w:sz w:val="24"/>
                <w:highlight w:val="none"/>
              </w:rPr>
            </w:pP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(5)、吸粪车密封圈每月需检修1次，密封圈密闭不紧未及时维修更换的，每发现1辆扣1分。严重造成污水滴漏的，加扣2分。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continue"/>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rPr>
                <w:rFonts w:ascii="宋体" w:hAnsi="宋体" w:eastAsia="宋体" w:cs="宋体"/>
                <w:color w:val="auto"/>
                <w:sz w:val="24"/>
                <w:highlight w:val="none"/>
              </w:rPr>
            </w:pP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(6)、吸粪车车厢体每周需检修1次，车厢、污水箱破损未及时维修造成污水滴漏的，每发现1辆扣2分；厢体破损严重无法使用仍在继续使用严重造成污水滴漏的，加扣5分。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continue"/>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rPr>
                <w:rFonts w:ascii="宋体" w:hAnsi="宋体" w:eastAsia="宋体" w:cs="宋体"/>
                <w:color w:val="auto"/>
                <w:sz w:val="24"/>
                <w:highlight w:val="none"/>
              </w:rPr>
            </w:pP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(7)、发现吸粪车超范围运输或私自代运非本区域内污水的，每发现一辆扣5分。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restart"/>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2、转运作业</w:t>
            </w: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(1)吸粪车未遵守抽吸规章制度，未按时、按点作业的，每发现一辆扣2分。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continue"/>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rPr>
                <w:rFonts w:ascii="宋体" w:hAnsi="宋体" w:eastAsia="宋体" w:cs="宋体"/>
                <w:color w:val="auto"/>
                <w:sz w:val="24"/>
                <w:highlight w:val="none"/>
              </w:rPr>
            </w:pP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(2)收集、运输作业时未严格规范作业程序，收集操作或运输过程造成二次污染的，每发现一辆扣2分。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continue"/>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rPr>
                <w:rFonts w:ascii="宋体" w:hAnsi="宋体" w:eastAsia="宋体" w:cs="宋体"/>
                <w:color w:val="auto"/>
                <w:sz w:val="24"/>
                <w:highlight w:val="none"/>
              </w:rPr>
            </w:pP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(3)吸粪车在抽吸过程中滴洒漏，每发现一辆扣2分。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continue"/>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rPr>
                <w:rFonts w:ascii="宋体" w:hAnsi="宋体" w:eastAsia="宋体" w:cs="宋体"/>
                <w:color w:val="auto"/>
                <w:sz w:val="24"/>
                <w:highlight w:val="none"/>
              </w:rPr>
            </w:pP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(4)转运作业时不当或违规操作，造成交通阻塞的，每发现一辆扣2分。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vMerge w:val="continue"/>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rPr>
                <w:rFonts w:ascii="宋体" w:hAnsi="宋体" w:eastAsia="宋体" w:cs="宋体"/>
                <w:color w:val="auto"/>
                <w:sz w:val="24"/>
                <w:highlight w:val="none"/>
              </w:rPr>
            </w:pP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(5)转运作业时操作不谨慎，造成设备损坏或其他损失，每发现一次扣2分。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2" w:type="dxa"/>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3、文明作业</w:t>
            </w:r>
          </w:p>
        </w:tc>
        <w:tc>
          <w:tcPr>
            <w:tcW w:w="6954" w:type="dxa"/>
            <w:tcBorders>
              <w:top w:val="nil"/>
              <w:left w:val="nil"/>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被街道、社区投诉或新闻媒体曝光、市领导检查发现问题的，每发现一次扣10分。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826" w:type="dxa"/>
            <w:gridSpan w:val="2"/>
            <w:tcBorders>
              <w:top w:val="nil"/>
              <w:left w:val="single" w:color="auto" w:sz="6" w:space="0"/>
              <w:bottom w:val="single" w:color="auto" w:sz="6" w:space="0"/>
              <w:right w:val="single" w:color="auto" w:sz="6" w:space="0"/>
            </w:tcBorders>
            <w:shd w:val="clear" w:color="auto" w:fill="auto"/>
            <w:tcMar>
              <w:top w:w="0" w:type="dxa"/>
              <w:left w:w="90" w:type="dxa"/>
              <w:bottom w:w="0" w:type="dxa"/>
              <w:right w:w="90" w:type="dxa"/>
            </w:tcMar>
            <w:vAlign w:val="center"/>
          </w:tcPr>
          <w:p>
            <w:pPr>
              <w:pStyle w:val="14"/>
              <w:widowControl/>
              <w:spacing w:beforeAutospacing="0" w:afterAutospacing="0"/>
              <w:jc w:val="center"/>
              <w:rPr>
                <w:rFonts w:ascii="宋体" w:hAnsi="宋体" w:eastAsia="宋体" w:cs="宋体"/>
                <w:color w:val="auto"/>
                <w:highlight w:val="none"/>
              </w:rPr>
            </w:pPr>
            <w:r>
              <w:rPr>
                <w:rStyle w:val="20"/>
                <w:rFonts w:hint="eastAsia" w:ascii="宋体" w:hAnsi="宋体" w:eastAsia="宋体" w:cs="宋体"/>
                <w:bCs/>
                <w:color w:val="auto"/>
                <w:highlight w:val="none"/>
              </w:rPr>
              <w:t>总分</w:t>
            </w:r>
          </w:p>
        </w:tc>
        <w:tc>
          <w:tcPr>
            <w:tcW w:w="867" w:type="dxa"/>
            <w:tcBorders>
              <w:top w:val="nil"/>
              <w:left w:val="nil"/>
              <w:bottom w:val="single" w:color="auto" w:sz="6" w:space="0"/>
              <w:right w:val="single" w:color="auto" w:sz="6" w:space="0"/>
            </w:tcBorders>
            <w:shd w:val="clear" w:color="auto" w:fill="auto"/>
            <w:tcMar>
              <w:top w:w="0" w:type="dxa"/>
              <w:left w:w="90" w:type="dxa"/>
              <w:bottom w:w="0" w:type="dxa"/>
              <w:right w:w="90" w:type="dxa"/>
            </w:tcMar>
          </w:tcPr>
          <w:p>
            <w:pPr>
              <w:rPr>
                <w:rFonts w:ascii="宋体" w:hAnsi="宋体" w:eastAsia="宋体" w:cs="宋体"/>
                <w:color w:val="auto"/>
                <w:sz w:val="24"/>
                <w:highlight w:val="none"/>
              </w:rPr>
            </w:pPr>
          </w:p>
        </w:tc>
      </w:tr>
    </w:tbl>
    <w:p>
      <w:pPr>
        <w:pStyle w:val="2"/>
        <w:ind w:firstLine="720"/>
        <w:outlineLvl w:val="9"/>
        <w:rPr>
          <w:color w:val="auto"/>
          <w:highlight w:val="none"/>
        </w:rPr>
      </w:pPr>
    </w:p>
    <w:p>
      <w:pPr>
        <w:pStyle w:val="14"/>
        <w:widowControl/>
        <w:spacing w:before="75" w:beforeAutospacing="0" w:after="75" w:afterAutospacing="0"/>
        <w:rPr>
          <w:rFonts w:ascii="Calibri" w:hAnsi="Calibri" w:cs="Calibri"/>
          <w:color w:val="auto"/>
          <w:highlight w:val="none"/>
        </w:rPr>
      </w:pPr>
    </w:p>
    <w:p>
      <w:pPr>
        <w:pStyle w:val="14"/>
        <w:widowControl/>
        <w:spacing w:before="75" w:beforeAutospacing="0" w:after="75" w:afterAutospacing="0"/>
        <w:rPr>
          <w:rFonts w:ascii="Calibri" w:hAnsi="Calibri" w:cs="Calibri"/>
          <w:color w:val="auto"/>
          <w:highlight w:val="none"/>
        </w:rPr>
      </w:pPr>
    </w:p>
    <w:p>
      <w:pPr>
        <w:pStyle w:val="14"/>
        <w:widowControl/>
        <w:spacing w:before="75" w:beforeAutospacing="0" w:after="75" w:afterAutospacing="0"/>
        <w:rPr>
          <w:rFonts w:ascii="Calibri" w:hAnsi="Calibri" w:cs="Calibri"/>
          <w:color w:val="auto"/>
          <w:highlight w:val="none"/>
        </w:rPr>
      </w:pPr>
    </w:p>
    <w:p>
      <w:pPr>
        <w:pStyle w:val="14"/>
        <w:widowControl/>
        <w:spacing w:before="75" w:beforeAutospacing="0" w:after="75" w:afterAutospacing="0"/>
        <w:rPr>
          <w:rFonts w:ascii="Calibri" w:hAnsi="Calibri" w:cs="Calibri"/>
          <w:color w:val="auto"/>
          <w:highlight w:val="none"/>
        </w:rPr>
      </w:pPr>
    </w:p>
    <w:p>
      <w:pPr>
        <w:pStyle w:val="14"/>
        <w:widowControl/>
        <w:spacing w:before="75" w:beforeAutospacing="0" w:after="75" w:afterAutospacing="0"/>
        <w:rPr>
          <w:color w:val="auto"/>
          <w:highlight w:val="none"/>
        </w:rPr>
      </w:pPr>
      <w:r>
        <w:rPr>
          <w:rFonts w:hint="eastAsia" w:ascii="宋体" w:hAnsi="宋体" w:eastAsia="宋体" w:cs="宋体"/>
          <w:color w:val="auto"/>
          <w:highlight w:val="none"/>
        </w:rPr>
        <w:t>附件4、</w:t>
      </w:r>
    </w:p>
    <w:p>
      <w:pPr>
        <w:pStyle w:val="14"/>
        <w:widowControl/>
        <w:spacing w:line="420" w:lineRule="atLeast"/>
        <w:ind w:firstLine="480"/>
        <w:jc w:val="center"/>
        <w:rPr>
          <w:color w:val="auto"/>
          <w:highlight w:val="none"/>
        </w:rPr>
      </w:pPr>
      <w:r>
        <w:rPr>
          <w:rStyle w:val="20"/>
          <w:rFonts w:hint="eastAsia" w:ascii="宋体" w:hAnsi="宋体" w:eastAsia="宋体" w:cs="宋体"/>
          <w:bCs/>
          <w:color w:val="auto"/>
          <w:sz w:val="36"/>
          <w:szCs w:val="36"/>
          <w:highlight w:val="none"/>
        </w:rPr>
        <w:t>承包合同(参 考 文 本)</w:t>
      </w:r>
    </w:p>
    <w:p>
      <w:pPr>
        <w:pStyle w:val="14"/>
        <w:widowControl/>
        <w:spacing w:before="120" w:beforeAutospacing="0" w:line="495" w:lineRule="atLeast"/>
        <w:ind w:left="105"/>
        <w:rPr>
          <w:color w:val="auto"/>
          <w:highlight w:val="none"/>
        </w:rPr>
      </w:pPr>
      <w:r>
        <w:rPr>
          <w:rFonts w:hint="eastAsia" w:ascii="宋体" w:hAnsi="宋体" w:eastAsia="宋体" w:cs="宋体"/>
          <w:color w:val="auto"/>
          <w:highlight w:val="none"/>
        </w:rPr>
        <w:t>注释：</w:t>
      </w:r>
    </w:p>
    <w:p>
      <w:pPr>
        <w:pStyle w:val="14"/>
        <w:widowControl/>
        <w:spacing w:before="120" w:beforeAutospacing="0" w:line="495" w:lineRule="atLeast"/>
        <w:ind w:firstLine="360"/>
        <w:rPr>
          <w:color w:val="auto"/>
          <w:highlight w:val="none"/>
        </w:rPr>
      </w:pPr>
      <w:r>
        <w:rPr>
          <w:rFonts w:hint="eastAsia" w:ascii="宋体" w:hAnsi="宋体" w:eastAsia="宋体" w:cs="宋体"/>
          <w:color w:val="auto"/>
          <w:highlight w:val="none"/>
        </w:rPr>
        <w:t>《政府采购合同格式》，本格式条款仅作为双方签订合同的参 考，为阐明各方的权利和义务，经协商可增加新的条款。 但不得与招标文件、投标文件的实质性内容相背离。</w:t>
      </w:r>
    </w:p>
    <w:p>
      <w:pPr>
        <w:pStyle w:val="14"/>
        <w:widowControl/>
        <w:spacing w:line="495" w:lineRule="atLeast"/>
        <w:jc w:val="right"/>
        <w:rPr>
          <w:rFonts w:ascii="宋体" w:hAnsi="宋体" w:eastAsia="宋体" w:cs="宋体"/>
          <w:color w:val="auto"/>
          <w:highlight w:val="none"/>
        </w:rPr>
      </w:pPr>
      <w:r>
        <w:rPr>
          <w:rFonts w:hint="eastAsia" w:ascii="宋体" w:hAnsi="宋体" w:eastAsia="宋体" w:cs="宋体"/>
          <w:color w:val="auto"/>
          <w:highlight w:val="none"/>
        </w:rPr>
        <w:t xml:space="preserve">合同号： </w:t>
      </w:r>
    </w:p>
    <w:p>
      <w:pPr>
        <w:pStyle w:val="14"/>
        <w:widowControl/>
        <w:spacing w:line="495" w:lineRule="atLeast"/>
        <w:rPr>
          <w:color w:val="auto"/>
          <w:highlight w:val="none"/>
        </w:rPr>
      </w:pPr>
      <w:r>
        <w:rPr>
          <w:rFonts w:hint="eastAsia" w:ascii="宋体" w:hAnsi="宋体" w:eastAsia="宋体" w:cs="宋体"/>
          <w:color w:val="auto"/>
          <w:highlight w:val="none"/>
        </w:rPr>
        <w:t xml:space="preserve">甲方(采购人)：                  签订地点： </w:t>
      </w:r>
    </w:p>
    <w:p>
      <w:pPr>
        <w:pStyle w:val="14"/>
        <w:widowControl/>
        <w:spacing w:line="495" w:lineRule="atLeast"/>
        <w:rPr>
          <w:color w:val="auto"/>
          <w:highlight w:val="none"/>
        </w:rPr>
      </w:pPr>
      <w:r>
        <w:rPr>
          <w:rFonts w:hint="eastAsia" w:ascii="宋体" w:hAnsi="宋体" w:eastAsia="宋体" w:cs="宋体"/>
          <w:color w:val="auto"/>
          <w:highlight w:val="none"/>
        </w:rPr>
        <w:t>乙方(中标人)：                签订日期：      年   月   日</w:t>
      </w:r>
    </w:p>
    <w:p>
      <w:pPr>
        <w:pStyle w:val="14"/>
        <w:widowControl/>
        <w:spacing w:line="495" w:lineRule="atLeast"/>
        <w:ind w:firstLine="480"/>
        <w:jc w:val="center"/>
        <w:rPr>
          <w:color w:val="auto"/>
          <w:highlight w:val="none"/>
        </w:rPr>
      </w:pPr>
      <w:r>
        <w:rPr>
          <w:rStyle w:val="20"/>
          <w:rFonts w:hint="eastAsia" w:ascii="宋体" w:hAnsi="宋体" w:eastAsia="宋体" w:cs="宋体"/>
          <w:bCs/>
          <w:color w:val="auto"/>
          <w:highlight w:val="none"/>
        </w:rPr>
        <w:t>第一节  总则</w:t>
      </w:r>
    </w:p>
    <w:p>
      <w:pPr>
        <w:pStyle w:val="14"/>
        <w:widowControl/>
        <w:spacing w:line="495" w:lineRule="atLeast"/>
        <w:ind w:firstLine="480"/>
        <w:rPr>
          <w:color w:val="auto"/>
          <w:highlight w:val="none"/>
        </w:rPr>
      </w:pPr>
      <w:r>
        <w:rPr>
          <w:rFonts w:hint="eastAsia" w:ascii="宋体" w:hAnsi="宋体" w:eastAsia="宋体" w:cs="宋体"/>
          <w:color w:val="auto"/>
          <w:highlight w:val="none"/>
        </w:rPr>
        <w:t>根据甲方委托(</w:t>
      </w:r>
      <w:r>
        <w:rPr>
          <w:rFonts w:hint="eastAsia" w:ascii="宋体" w:hAnsi="宋体" w:eastAsia="宋体" w:cs="宋体"/>
          <w:color w:val="auto"/>
          <w:highlight w:val="none"/>
          <w:u w:val="single"/>
        </w:rPr>
        <w:t>招标代 理机构</w:t>
      </w:r>
      <w:r>
        <w:rPr>
          <w:rFonts w:hint="eastAsia" w:ascii="宋体" w:hAnsi="宋体" w:eastAsia="宋体" w:cs="宋体"/>
          <w:color w:val="auto"/>
          <w:highlight w:val="none"/>
        </w:rPr>
        <w:t>)对进行招标采购(招标编号：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)的招标结果，乙方为中标人，现依照招标文件、投标文件及相关文件的内容，双方达成如下协议：</w:t>
      </w:r>
    </w:p>
    <w:p>
      <w:pPr>
        <w:pStyle w:val="14"/>
        <w:widowControl/>
        <w:spacing w:line="495" w:lineRule="atLeast"/>
        <w:ind w:firstLine="480"/>
        <w:jc w:val="center"/>
        <w:rPr>
          <w:color w:val="auto"/>
          <w:highlight w:val="none"/>
        </w:rPr>
      </w:pPr>
      <w:r>
        <w:rPr>
          <w:rStyle w:val="20"/>
          <w:rFonts w:hint="eastAsia" w:ascii="宋体" w:hAnsi="宋体" w:eastAsia="宋体" w:cs="宋体"/>
          <w:bCs/>
          <w:color w:val="auto"/>
          <w:highlight w:val="none"/>
        </w:rPr>
        <w:t>第二节  承包项目</w:t>
      </w:r>
    </w:p>
    <w:p>
      <w:pPr>
        <w:pStyle w:val="14"/>
        <w:spacing w:beforeAutospacing="0" w:afterAutospacing="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合同包一（东部）：</w:t>
      </w:r>
    </w:p>
    <w:tbl>
      <w:tblPr>
        <w:tblStyle w:val="18"/>
        <w:tblW w:w="8440" w:type="dxa"/>
        <w:tblInd w:w="93" w:type="dxa"/>
        <w:tblLayout w:type="fixed"/>
        <w:tblCellMar>
          <w:top w:w="0" w:type="dxa"/>
          <w:left w:w="108" w:type="dxa"/>
          <w:bottom w:w="0" w:type="dxa"/>
          <w:right w:w="108" w:type="dxa"/>
        </w:tblCellMar>
      </w:tblPr>
      <w:tblGrid>
        <w:gridCol w:w="827"/>
        <w:gridCol w:w="1705"/>
        <w:gridCol w:w="1020"/>
        <w:gridCol w:w="3300"/>
        <w:gridCol w:w="1588"/>
      </w:tblGrid>
      <w:tr>
        <w:tblPrEx>
          <w:tblCellMar>
            <w:top w:w="0" w:type="dxa"/>
            <w:left w:w="108" w:type="dxa"/>
            <w:bottom w:w="0" w:type="dxa"/>
            <w:right w:w="108" w:type="dxa"/>
          </w:tblCellMar>
        </w:tblPrEx>
        <w:trPr>
          <w:trHeight w:val="491" w:hRule="atLeast"/>
        </w:trPr>
        <w:tc>
          <w:tcPr>
            <w:tcW w:w="8440" w:type="dxa"/>
            <w:gridSpan w:val="5"/>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8"/>
                <w:szCs w:val="28"/>
                <w:highlight w:val="none"/>
                <w:lang w:bidi="ar"/>
              </w:rPr>
              <w:t>包1（东部）：台江区公厕管养一览表</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公厕名称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街道</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具体位置</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开放时间</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红星场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红星村垃圾转运站边</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农贸一</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农贸一群体一层老字号边1</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尾垱</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六一路童装城一楼</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建新一</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台江农贸建新3区2号（2层）</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建新二</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建新市场4区1-38号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6</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原长乐南路（现迎河弄）</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银河庙边</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光明港苑</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长乐南路 </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8</w:t>
            </w:r>
          </w:p>
        </w:tc>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鼓山桥下</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江滨大道鼓山桥下</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9</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鳌兴路(东）</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鳌兴路（车队）</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鳌港路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鳌港路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11</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鳄鱼公园（一）</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鳌峰路鳄鱼公园内</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鳄鱼公园（二）</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鳌峰路鳄鱼公园内</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海西</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鳌峰路海西大厦内</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14</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善安里</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新港路福日新村1座边</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15</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雁塔</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雁塔4弄23号边</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16</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鞋城</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国货路晋安河公园内</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17</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新港苑</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新港路 </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18</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玉树</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河口里49-1对面</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19</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君临闽江</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江滨大道君临闽江对面</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鳌峰洲公寓</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江滨大道鳌峰洲公寓对面</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21</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原名：光明港公园（三）搬迁后（红星苑）</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光明港公园（鳌兴佳园）</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原光明港公园二（现新天城）</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新天城对面</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鳌江路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鳌江路7号</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24</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三桥西</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连江路三桥下西侧</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25</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鳌峰路垃圾站边</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 xml:space="preserve"> 26</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鳌峰路小压站边</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27</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闽运加汽站</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鳌港路</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28</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亚兴路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亚兴路桥头</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71"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29</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鳌峰禽蛋市场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鳌峰路亚兴路口</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鳌峰永辉</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鳌峰路鳄鱼公园边</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71"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31</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福光南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福光南路</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三桥下</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江滨大道鳌峰三桥下</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游艇码头</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34</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亚峰小区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曙光路亚峰小区</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35</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江滨大道五</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江滨大道（威斯汀酒店对面)</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71"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36</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江滨大道六</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江滨大道（海润滨江对面）</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37</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鳌兴路(中）</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凡尔赛宫对面 </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38</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鳌兴路（西）</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香江万里对面</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39</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琼东河</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群众东路115号</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40</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十四桥</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五一路唐城大厦十四桥边</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41</w:t>
            </w:r>
          </w:p>
        </w:tc>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群众东路</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群众东路市体育馆边</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42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象园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国货东路象园新村6座边</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71"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南公园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国货路南公园内</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44</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柔远雅苑</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琯后街（停车场内）</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45</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光明港公园一(现打铁垱)</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新港</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六一路加油站斜对面</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46</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江滨公园（一）搬迁至侨信公寓对面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鳌峰</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由台江码头吊至连江中路与鳌兴路路口</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47</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兴化埕</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银湘弄37号</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48</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达道</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达道路市一医院西侧</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49</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江滨公园（三）</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江滨公园步行街</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50</w:t>
            </w:r>
          </w:p>
        </w:tc>
        <w:tc>
          <w:tcPr>
            <w:tcW w:w="170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苍霞公园</w:t>
            </w:r>
          </w:p>
        </w:tc>
        <w:tc>
          <w:tcPr>
            <w:tcW w:w="1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3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江滨大道三县洲桥西</w:t>
            </w:r>
          </w:p>
        </w:tc>
        <w:tc>
          <w:tcPr>
            <w:tcW w:w="158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263" w:hRule="atLeast"/>
        </w:trPr>
        <w:tc>
          <w:tcPr>
            <w:tcW w:w="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51-55</w:t>
            </w:r>
          </w:p>
        </w:tc>
        <w:tc>
          <w:tcPr>
            <w:tcW w:w="76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剩余5座具体以采购人实际交付为准</w:t>
            </w:r>
          </w:p>
        </w:tc>
      </w:tr>
    </w:tbl>
    <w:p>
      <w:pPr>
        <w:jc w:val="center"/>
        <w:rPr>
          <w:rFonts w:ascii="宋体" w:hAnsi="宋体" w:eastAsia="宋体" w:cs="宋体"/>
          <w:color w:val="auto"/>
          <w:sz w:val="28"/>
          <w:szCs w:val="28"/>
          <w:highlight w:val="none"/>
        </w:rPr>
      </w:pPr>
      <w:r>
        <w:rPr>
          <w:rFonts w:hint="eastAsia" w:ascii="宋体" w:hAnsi="宋体" w:eastAsia="宋体" w:cs="宋体"/>
          <w:color w:val="auto"/>
          <w:kern w:val="0"/>
          <w:sz w:val="28"/>
          <w:szCs w:val="28"/>
          <w:highlight w:val="none"/>
          <w:lang w:bidi="ar"/>
        </w:rPr>
        <w:t>包1（东部）：5座公厕及2座转运站污水抽吸转运一览表</w:t>
      </w:r>
    </w:p>
    <w:tbl>
      <w:tblPr>
        <w:tblStyle w:val="18"/>
        <w:tblW w:w="8422" w:type="dxa"/>
        <w:tblInd w:w="93" w:type="dxa"/>
        <w:tblLayout w:type="fixed"/>
        <w:tblCellMar>
          <w:top w:w="0" w:type="dxa"/>
          <w:left w:w="108" w:type="dxa"/>
          <w:bottom w:w="0" w:type="dxa"/>
          <w:right w:w="108" w:type="dxa"/>
        </w:tblCellMar>
      </w:tblPr>
      <w:tblGrid>
        <w:gridCol w:w="755"/>
        <w:gridCol w:w="3114"/>
        <w:gridCol w:w="1110"/>
        <w:gridCol w:w="3443"/>
      </w:tblGrid>
      <w:tr>
        <w:tblPrEx>
          <w:tblCellMar>
            <w:top w:w="0" w:type="dxa"/>
            <w:left w:w="108" w:type="dxa"/>
            <w:bottom w:w="0" w:type="dxa"/>
            <w:right w:w="108" w:type="dxa"/>
          </w:tblCellMar>
        </w:tblPrEx>
        <w:trPr>
          <w:trHeight w:val="263" w:hRule="atLeast"/>
        </w:trPr>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3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公厕及转运站名称</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街道</w:t>
            </w:r>
          </w:p>
        </w:tc>
        <w:tc>
          <w:tcPr>
            <w:tcW w:w="34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具体位置</w:t>
            </w:r>
          </w:p>
        </w:tc>
      </w:tr>
      <w:tr>
        <w:tblPrEx>
          <w:tblCellMar>
            <w:top w:w="0" w:type="dxa"/>
            <w:left w:w="108" w:type="dxa"/>
            <w:bottom w:w="0" w:type="dxa"/>
            <w:right w:w="108" w:type="dxa"/>
          </w:tblCellMar>
        </w:tblPrEx>
        <w:trPr>
          <w:trHeight w:val="263" w:hRule="atLeast"/>
        </w:trPr>
        <w:tc>
          <w:tcPr>
            <w:tcW w:w="7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w:t>
            </w:r>
          </w:p>
        </w:tc>
        <w:tc>
          <w:tcPr>
            <w:tcW w:w="311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三桥下</w:t>
            </w:r>
          </w:p>
        </w:tc>
        <w:tc>
          <w:tcPr>
            <w:tcW w:w="111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44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江滨大道鳌峰三桥下</w:t>
            </w:r>
          </w:p>
        </w:tc>
      </w:tr>
      <w:tr>
        <w:tblPrEx>
          <w:tblCellMar>
            <w:top w:w="0" w:type="dxa"/>
            <w:left w:w="108" w:type="dxa"/>
            <w:bottom w:w="0" w:type="dxa"/>
            <w:right w:w="108" w:type="dxa"/>
          </w:tblCellMar>
        </w:tblPrEx>
        <w:trPr>
          <w:trHeight w:val="263"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2</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鳌峰洲公寓</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江滨大道鳌峰洲公寓对面</w:t>
            </w:r>
          </w:p>
        </w:tc>
      </w:tr>
      <w:tr>
        <w:tblPrEx>
          <w:tblCellMar>
            <w:top w:w="0" w:type="dxa"/>
            <w:left w:w="108" w:type="dxa"/>
            <w:bottom w:w="0" w:type="dxa"/>
            <w:right w:w="108" w:type="dxa"/>
          </w:tblCellMar>
        </w:tblPrEx>
        <w:trPr>
          <w:trHeight w:val="263"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君临闽江</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瀛洲</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江滨大道君临闽江对面</w:t>
            </w:r>
          </w:p>
        </w:tc>
      </w:tr>
      <w:tr>
        <w:tblPrEx>
          <w:tblCellMar>
            <w:top w:w="0" w:type="dxa"/>
            <w:left w:w="108" w:type="dxa"/>
            <w:bottom w:w="0" w:type="dxa"/>
            <w:right w:w="108" w:type="dxa"/>
          </w:tblCellMar>
        </w:tblPrEx>
        <w:trPr>
          <w:trHeight w:val="263"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江滨公园（三）</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江滨公园步行街</w:t>
            </w:r>
          </w:p>
        </w:tc>
      </w:tr>
      <w:tr>
        <w:tblPrEx>
          <w:tblCellMar>
            <w:top w:w="0" w:type="dxa"/>
            <w:left w:w="108" w:type="dxa"/>
            <w:bottom w:w="0" w:type="dxa"/>
            <w:right w:w="108" w:type="dxa"/>
          </w:tblCellMar>
        </w:tblPrEx>
        <w:trPr>
          <w:trHeight w:val="263"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苍霞公园</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江滨大道三县洲桥西</w:t>
            </w:r>
          </w:p>
        </w:tc>
      </w:tr>
      <w:tr>
        <w:tblPrEx>
          <w:tblCellMar>
            <w:top w:w="0" w:type="dxa"/>
            <w:left w:w="108" w:type="dxa"/>
            <w:bottom w:w="0" w:type="dxa"/>
            <w:right w:w="108" w:type="dxa"/>
          </w:tblCellMar>
        </w:tblPrEx>
        <w:trPr>
          <w:trHeight w:val="263"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6</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鳌峰（一）转运站</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台江区鳌峰路58号</w:t>
            </w:r>
          </w:p>
        </w:tc>
      </w:tr>
      <w:tr>
        <w:tblPrEx>
          <w:tblCellMar>
            <w:top w:w="0" w:type="dxa"/>
            <w:left w:w="108" w:type="dxa"/>
            <w:bottom w:w="0" w:type="dxa"/>
            <w:right w:w="108" w:type="dxa"/>
          </w:tblCellMar>
        </w:tblPrEx>
        <w:trPr>
          <w:trHeight w:val="263"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鳌峰（二）转运站</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鳌峰</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台江区鳌峰路341号</w:t>
            </w:r>
          </w:p>
        </w:tc>
      </w:tr>
    </w:tbl>
    <w:p>
      <w:pPr>
        <w:pStyle w:val="14"/>
        <w:spacing w:beforeAutospacing="0" w:afterAutospacing="0"/>
        <w:rPr>
          <w:rFonts w:ascii="仿宋" w:hAnsi="仿宋" w:eastAsia="仿宋" w:cs="仿宋"/>
          <w:color w:val="auto"/>
          <w:sz w:val="32"/>
          <w:highlight w:val="none"/>
        </w:rPr>
      </w:pPr>
    </w:p>
    <w:p>
      <w:pPr>
        <w:jc w:val="left"/>
        <w:rPr>
          <w:rFonts w:ascii="宋体" w:hAnsi="宋体" w:eastAsia="宋体" w:cs="宋体"/>
          <w:color w:val="auto"/>
          <w:kern w:val="0"/>
          <w:sz w:val="28"/>
          <w:szCs w:val="28"/>
          <w:highlight w:val="none"/>
          <w:lang w:bidi="ar"/>
        </w:rPr>
      </w:pPr>
      <w:r>
        <w:rPr>
          <w:rFonts w:hint="eastAsia" w:ascii="宋体" w:hAnsi="宋体" w:eastAsia="宋体" w:cs="宋体"/>
          <w:color w:val="auto"/>
          <w:kern w:val="0"/>
          <w:sz w:val="28"/>
          <w:szCs w:val="28"/>
          <w:highlight w:val="none"/>
          <w:lang w:bidi="ar"/>
        </w:rPr>
        <w:t>合同包二（西部）：</w:t>
      </w:r>
    </w:p>
    <w:tbl>
      <w:tblPr>
        <w:tblStyle w:val="18"/>
        <w:tblW w:w="8440" w:type="dxa"/>
        <w:tblInd w:w="93" w:type="dxa"/>
        <w:tblLayout w:type="fixed"/>
        <w:tblCellMar>
          <w:top w:w="0" w:type="dxa"/>
          <w:left w:w="108" w:type="dxa"/>
          <w:bottom w:w="0" w:type="dxa"/>
          <w:right w:w="108" w:type="dxa"/>
        </w:tblCellMar>
      </w:tblPr>
      <w:tblGrid>
        <w:gridCol w:w="827"/>
        <w:gridCol w:w="1656"/>
        <w:gridCol w:w="1080"/>
        <w:gridCol w:w="3252"/>
        <w:gridCol w:w="1625"/>
      </w:tblGrid>
      <w:tr>
        <w:tblPrEx>
          <w:tblCellMar>
            <w:top w:w="0" w:type="dxa"/>
            <w:left w:w="108" w:type="dxa"/>
            <w:bottom w:w="0" w:type="dxa"/>
            <w:right w:w="108" w:type="dxa"/>
          </w:tblCellMar>
        </w:tblPrEx>
        <w:trPr>
          <w:trHeight w:val="665" w:hRule="atLeast"/>
        </w:trPr>
        <w:tc>
          <w:tcPr>
            <w:tcW w:w="8440" w:type="dxa"/>
            <w:gridSpan w:val="5"/>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8"/>
                <w:szCs w:val="28"/>
                <w:highlight w:val="none"/>
                <w:lang w:bidi="ar"/>
              </w:rPr>
              <w:t>包2（西部）：台江区公厕管养一览表</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公厕名称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街道</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具体位置</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开放时间</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闽水园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汀洲馆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白马南汀洲馆北侧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苍霞新城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苍霞新城嘉和苑8号楼</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青年会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解放大桥边青年会广场</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同德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同德路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6</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万侯园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后田街</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7</w:t>
            </w: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苍霞公园二</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32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江滨大道（苍霞公园口）</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8</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群众路疾控中心东侧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9</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仁德路东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仁德路公交汽车总站</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青春广场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广达路青春广场边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群众路与817路交叉口</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儿童公园路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儿童公园路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河口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河口新村2座底层</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14</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广达路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广达路正祥尊园</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和平大厦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五一路和平大厦北侧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16</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安平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五一路安平商场内5座</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17</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和平市场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和平市场东侧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18</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嘉辉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中亭街D区</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19</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嘉和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中亭街B区</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嘉同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中亭街F区</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台江路福泰华庭北侧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江滨公园步行街</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后洲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江滨公园步行街内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24</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宁化垃圾站边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金沙园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26</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西二环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西二环路客运站</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676"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27</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原上浦路（现祥坂路）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祥坂路速8酒店对面</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28</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荷泽</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西二环中路667号旁</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676"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29</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下河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福建医大医院边下河里83号旁</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上海西一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上海新村144座边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凤凰小区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凤凰小区13座边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西洋新村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西洋新村35座边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白马垃圾转运场边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406"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34</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菏泽新村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二环路荷花新村5座对面</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上海新村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兰花路</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676"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36</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交通一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福建医大口腔医院旁</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5：30-次日</w:t>
            </w:r>
            <w:r>
              <w:rPr>
                <w:rFonts w:hint="eastAsia" w:ascii="宋体" w:hAnsi="宋体" w:eastAsia="宋体" w:cs="宋体"/>
                <w:color w:val="auto"/>
                <w:sz w:val="24"/>
                <w:highlight w:val="none"/>
              </w:rPr>
              <w:t>凌晨</w:t>
            </w:r>
            <w:r>
              <w:rPr>
                <w:rFonts w:hint="eastAsia" w:ascii="宋体" w:hAnsi="宋体" w:eastAsia="宋体" w:cs="宋体"/>
                <w:color w:val="auto"/>
                <w:kern w:val="0"/>
                <w:sz w:val="24"/>
                <w:highlight w:val="none"/>
                <w:lang w:bidi="ar"/>
              </w:rPr>
              <w:t>1：00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37</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交通西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交通西路与白马支路交叉口</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38</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白马河公园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白马支路 </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39</w:t>
            </w: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西洋地铁</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32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西洋路地铁口</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庭芳苑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义洲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工业路庭芳苑东侧</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406"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义洲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白马南路浦西河五印桥边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义洲</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茶亭河庭芳苑边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八一七路文化宫门口</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44</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45</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46</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47</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5：30-22：00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48</w:t>
            </w: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文化宫6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八一七路文化宫内</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49</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横街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洋中</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817中路横街天主教堂边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50</w:t>
            </w:r>
          </w:p>
        </w:tc>
        <w:tc>
          <w:tcPr>
            <w:tcW w:w="16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汽车南站</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茶亭</w:t>
            </w:r>
          </w:p>
        </w:tc>
        <w:tc>
          <w:tcPr>
            <w:tcW w:w="32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国货路汽车南站边</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5：30-24：00</w:t>
            </w:r>
          </w:p>
        </w:tc>
      </w:tr>
      <w:tr>
        <w:tblPrEx>
          <w:tblCellMar>
            <w:top w:w="0" w:type="dxa"/>
            <w:left w:w="108" w:type="dxa"/>
            <w:bottom w:w="0" w:type="dxa"/>
            <w:right w:w="108" w:type="dxa"/>
          </w:tblCellMar>
        </w:tblPrEx>
        <w:trPr>
          <w:trHeight w:val="676" w:hRule="atLeast"/>
        </w:trPr>
        <w:tc>
          <w:tcPr>
            <w:tcW w:w="82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51-55</w:t>
            </w:r>
          </w:p>
        </w:tc>
        <w:tc>
          <w:tcPr>
            <w:tcW w:w="7613"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剩余5座具体以采购人实际交付为准</w:t>
            </w:r>
          </w:p>
        </w:tc>
      </w:tr>
      <w:tr>
        <w:tblPrEx>
          <w:tblCellMar>
            <w:top w:w="0" w:type="dxa"/>
            <w:left w:w="108" w:type="dxa"/>
            <w:bottom w:w="0" w:type="dxa"/>
            <w:right w:w="108" w:type="dxa"/>
          </w:tblCellMar>
        </w:tblPrEx>
        <w:trPr>
          <w:trHeight w:val="806" w:hRule="atLeast"/>
        </w:trPr>
        <w:tc>
          <w:tcPr>
            <w:tcW w:w="8440" w:type="dxa"/>
            <w:gridSpan w:val="5"/>
            <w:tcBorders>
              <w:top w:val="single" w:color="auto" w:sz="4" w:space="0"/>
              <w:left w:val="nil"/>
              <w:bottom w:val="single" w:color="auto" w:sz="4" w:space="0"/>
              <w:right w:val="nil"/>
            </w:tcBorders>
            <w:shd w:val="clear" w:color="auto" w:fill="auto"/>
            <w:noWrap/>
            <w:vAlign w:val="center"/>
          </w:tcPr>
          <w:p>
            <w:pPr>
              <w:widowControl/>
              <w:textAlignment w:val="center"/>
              <w:rPr>
                <w:rFonts w:ascii="宋体" w:hAnsi="宋体" w:eastAsia="宋体" w:cs="宋体"/>
                <w:color w:val="auto"/>
                <w:kern w:val="0"/>
                <w:sz w:val="24"/>
                <w:highlight w:val="none"/>
                <w:lang w:bidi="ar"/>
              </w:rPr>
            </w:pPr>
          </w:p>
          <w:p>
            <w:pPr>
              <w:widowControl/>
              <w:ind w:firstLine="840" w:firstLineChars="300"/>
              <w:textAlignment w:val="center"/>
              <w:rPr>
                <w:rFonts w:ascii="宋体" w:hAnsi="宋体" w:eastAsia="宋体" w:cs="宋体"/>
                <w:color w:val="auto"/>
                <w:sz w:val="24"/>
                <w:highlight w:val="none"/>
              </w:rPr>
            </w:pPr>
            <w:r>
              <w:rPr>
                <w:rFonts w:hint="eastAsia" w:ascii="宋体" w:hAnsi="宋体" w:eastAsia="宋体" w:cs="宋体"/>
                <w:color w:val="auto"/>
                <w:kern w:val="0"/>
                <w:sz w:val="28"/>
                <w:szCs w:val="28"/>
                <w:highlight w:val="none"/>
                <w:lang w:bidi="ar"/>
              </w:rPr>
              <w:t>包2：2座公厕及2座转运站污水抽吸转运一览表</w:t>
            </w:r>
          </w:p>
        </w:tc>
      </w:tr>
      <w:tr>
        <w:tblPrEx>
          <w:tblCellMar>
            <w:top w:w="0" w:type="dxa"/>
            <w:left w:w="108" w:type="dxa"/>
            <w:bottom w:w="0" w:type="dxa"/>
            <w:right w:w="108" w:type="dxa"/>
          </w:tblCellMar>
        </w:tblPrEx>
        <w:trPr>
          <w:trHeight w:val="343" w:hRule="atLeast"/>
        </w:trPr>
        <w:tc>
          <w:tcPr>
            <w:tcW w:w="82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序号</w:t>
            </w:r>
          </w:p>
        </w:tc>
        <w:tc>
          <w:tcPr>
            <w:tcW w:w="165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公厕及转运站名称</w:t>
            </w:r>
          </w:p>
        </w:tc>
        <w:tc>
          <w:tcPr>
            <w:tcW w:w="108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街道</w:t>
            </w:r>
          </w:p>
        </w:tc>
        <w:tc>
          <w:tcPr>
            <w:tcW w:w="487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具体位置</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闽水园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4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金沙园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宁化</w:t>
            </w:r>
          </w:p>
        </w:tc>
        <w:tc>
          <w:tcPr>
            <w:tcW w:w="4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江滨公园</w:t>
            </w:r>
          </w:p>
        </w:tc>
      </w:tr>
      <w:tr>
        <w:tblPrEx>
          <w:tblCellMar>
            <w:top w:w="0" w:type="dxa"/>
            <w:left w:w="108" w:type="dxa"/>
            <w:bottom w:w="0" w:type="dxa"/>
            <w:right w:w="108" w:type="dxa"/>
          </w:tblCellMar>
        </w:tblPrEx>
        <w:trPr>
          <w:trHeight w:val="3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1656"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同德转运站</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w:t>
            </w:r>
          </w:p>
        </w:tc>
        <w:tc>
          <w:tcPr>
            <w:tcW w:w="4877"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苍霞街道河下街37号</w:t>
            </w:r>
          </w:p>
        </w:tc>
      </w:tr>
      <w:tr>
        <w:tblPrEx>
          <w:tblCellMar>
            <w:top w:w="0" w:type="dxa"/>
            <w:left w:w="108" w:type="dxa"/>
            <w:bottom w:w="0" w:type="dxa"/>
            <w:right w:w="108" w:type="dxa"/>
          </w:tblCellMar>
        </w:tblPrEx>
        <w:trPr>
          <w:trHeight w:val="354"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4</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白马转运站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上海</w:t>
            </w:r>
          </w:p>
        </w:tc>
        <w:tc>
          <w:tcPr>
            <w:tcW w:w="4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白马中路126号</w:t>
            </w:r>
          </w:p>
        </w:tc>
      </w:tr>
    </w:tbl>
    <w:p>
      <w:pPr>
        <w:pStyle w:val="14"/>
        <w:widowControl/>
        <w:spacing w:line="495" w:lineRule="atLeast"/>
        <w:ind w:right="105" w:firstLine="480"/>
        <w:jc w:val="center"/>
        <w:rPr>
          <w:color w:val="auto"/>
          <w:highlight w:val="none"/>
        </w:rPr>
      </w:pPr>
      <w:r>
        <w:rPr>
          <w:rStyle w:val="20"/>
          <w:rFonts w:hint="eastAsia" w:ascii="宋体" w:hAnsi="宋体" w:eastAsia="宋体" w:cs="宋体"/>
          <w:bCs/>
          <w:color w:val="auto"/>
          <w:highlight w:val="none"/>
        </w:rPr>
        <w:t>第三节  承包期限</w:t>
      </w:r>
    </w:p>
    <w:p>
      <w:pPr>
        <w:pStyle w:val="14"/>
        <w:widowControl/>
        <w:spacing w:line="495" w:lineRule="atLeast"/>
        <w:ind w:firstLine="420"/>
        <w:rPr>
          <w:color w:val="auto"/>
          <w:highlight w:val="none"/>
        </w:rPr>
      </w:pPr>
      <w:r>
        <w:rPr>
          <w:rFonts w:hint="eastAsia" w:ascii="宋体" w:hAnsi="宋体" w:eastAsia="宋体" w:cs="宋体"/>
          <w:color w:val="auto"/>
          <w:highlight w:val="none"/>
        </w:rPr>
        <w:t>承包期限：自</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日至</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日止,承包期满合同解除。</w:t>
      </w:r>
    </w:p>
    <w:p>
      <w:pPr>
        <w:pStyle w:val="14"/>
        <w:widowControl/>
        <w:spacing w:line="495" w:lineRule="atLeast"/>
        <w:ind w:firstLine="480"/>
        <w:jc w:val="center"/>
        <w:rPr>
          <w:color w:val="auto"/>
          <w:highlight w:val="none"/>
        </w:rPr>
      </w:pPr>
      <w:r>
        <w:rPr>
          <w:rStyle w:val="20"/>
          <w:rFonts w:hint="eastAsia" w:ascii="宋体" w:hAnsi="宋体" w:eastAsia="宋体" w:cs="宋体"/>
          <w:bCs/>
          <w:color w:val="auto"/>
          <w:highlight w:val="none"/>
        </w:rPr>
        <w:t>第四节  承包费用及支付方式</w:t>
      </w:r>
    </w:p>
    <w:p>
      <w:pPr>
        <w:pStyle w:val="14"/>
        <w:widowControl/>
        <w:spacing w:line="495" w:lineRule="atLeast"/>
        <w:ind w:firstLine="360"/>
        <w:rPr>
          <w:color w:val="auto"/>
          <w:highlight w:val="none"/>
        </w:rPr>
      </w:pPr>
      <w:r>
        <w:rPr>
          <w:rFonts w:hint="eastAsia" w:ascii="宋体" w:hAnsi="宋体" w:eastAsia="宋体" w:cs="宋体"/>
          <w:color w:val="auto"/>
          <w:highlight w:val="none"/>
        </w:rPr>
        <w:t>4.1本合同总承包经费共计人民币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元整)，平均每月经费为人民币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元整)。</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4.1.1.中标人履约的第一个月为过渡期，只考核，要求限期整改，不扣管养经费（含污水抽吸转运）。第二个月后开始正式对企业进行考评，根据考核情况由采购人按照不同等级进行付款。</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4.1.2.实行绩效考核制进行付款：根据考核情况，按照不同等级进行付款，采购人在次月25号(遇法定公休节假日顺延)前以转帐方式按月结算支付前一个月管养经费(经考核扣除相应管养经费后的剩余经费)，考评评分标准见附件2:《福州市台江区公厕市场化管养考评评分标准》，考评办法见附件3：《福州市台江区污水抽吸转运考核项目与标准》。</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4.1.3.经费拨付标准</w:t>
      </w:r>
    </w:p>
    <w:p>
      <w:pPr>
        <w:pStyle w:val="14"/>
        <w:widowControl/>
        <w:spacing w:line="495" w:lineRule="atLeast"/>
        <w:ind w:firstLine="360"/>
        <w:rPr>
          <w:rFonts w:ascii="宋体" w:hAnsi="宋体" w:eastAsia="宋体" w:cs="宋体"/>
          <w:color w:val="auto"/>
          <w:highlight w:val="none"/>
          <w:lang w:val="zh-CN"/>
        </w:rPr>
      </w:pPr>
      <w:r>
        <w:rPr>
          <w:rFonts w:hint="eastAsia" w:ascii="宋体" w:hAnsi="宋体" w:eastAsia="宋体" w:cs="宋体"/>
          <w:color w:val="auto"/>
          <w:highlight w:val="none"/>
          <w:lang w:val="zh-CN"/>
        </w:rPr>
        <w:t>（1）月考核平均得分≥91分，全额核拨当月承包作业经费；</w:t>
      </w:r>
    </w:p>
    <w:p>
      <w:pPr>
        <w:pStyle w:val="14"/>
        <w:widowControl/>
        <w:spacing w:line="495" w:lineRule="atLeast"/>
        <w:ind w:firstLine="360"/>
        <w:rPr>
          <w:rFonts w:ascii="宋体" w:hAnsi="宋体" w:eastAsia="宋体" w:cs="宋体"/>
          <w:color w:val="auto"/>
          <w:highlight w:val="none"/>
          <w:lang w:val="zh-CN"/>
        </w:rPr>
      </w:pPr>
      <w:r>
        <w:rPr>
          <w:rFonts w:hint="eastAsia" w:ascii="宋体" w:hAnsi="宋体" w:eastAsia="宋体" w:cs="宋体"/>
          <w:color w:val="auto"/>
          <w:highlight w:val="none"/>
          <w:lang w:val="zh-CN"/>
        </w:rPr>
        <w:t>（2）86分≤月考核平均得分&lt;9l分的，以91分为基准，按照每低1分扣除当月承包作业经费1%的标准进行扣除；</w:t>
      </w:r>
    </w:p>
    <w:p>
      <w:pPr>
        <w:pStyle w:val="14"/>
        <w:widowControl/>
        <w:spacing w:line="495" w:lineRule="atLeast"/>
        <w:ind w:firstLine="360"/>
        <w:rPr>
          <w:rFonts w:ascii="宋体" w:hAnsi="宋体" w:eastAsia="宋体" w:cs="宋体"/>
          <w:color w:val="auto"/>
          <w:highlight w:val="none"/>
          <w:lang w:val="zh-CN"/>
        </w:rPr>
      </w:pPr>
      <w:r>
        <w:rPr>
          <w:rFonts w:hint="eastAsia" w:ascii="宋体" w:hAnsi="宋体" w:eastAsia="宋体" w:cs="宋体"/>
          <w:color w:val="auto"/>
          <w:highlight w:val="none"/>
          <w:lang w:val="zh-CN"/>
        </w:rPr>
        <w:t>（3）81分≤月考核平均得分&lt;86分的，以86分为基准，按照每低1分扣除当月承包作业经费2%的标准进行扣除：</w:t>
      </w:r>
    </w:p>
    <w:p>
      <w:pPr>
        <w:pStyle w:val="14"/>
        <w:widowControl/>
        <w:spacing w:line="495" w:lineRule="atLeast"/>
        <w:ind w:firstLine="360"/>
        <w:rPr>
          <w:rFonts w:ascii="宋体" w:hAnsi="宋体" w:eastAsia="宋体" w:cs="宋体"/>
          <w:color w:val="auto"/>
          <w:highlight w:val="none"/>
          <w:lang w:val="zh-CN"/>
        </w:rPr>
      </w:pPr>
      <w:r>
        <w:rPr>
          <w:rFonts w:hint="eastAsia" w:ascii="宋体" w:hAnsi="宋体" w:eastAsia="宋体" w:cs="宋体"/>
          <w:color w:val="auto"/>
          <w:highlight w:val="none"/>
          <w:lang w:val="zh-CN"/>
        </w:rPr>
        <w:t>月考核平均得分&lt;81分的，扣除当月承包作业经费的30%。</w:t>
      </w:r>
    </w:p>
    <w:p>
      <w:pPr>
        <w:pStyle w:val="14"/>
        <w:widowControl/>
        <w:spacing w:line="495" w:lineRule="atLeast"/>
        <w:ind w:firstLine="360"/>
        <w:rPr>
          <w:rFonts w:ascii="宋体" w:hAnsi="宋体" w:eastAsia="宋体" w:cs="宋体"/>
          <w:color w:val="auto"/>
          <w:highlight w:val="none"/>
          <w:lang w:val="zh-CN"/>
        </w:rPr>
      </w:pPr>
      <w:r>
        <w:rPr>
          <w:rFonts w:hint="eastAsia" w:ascii="宋体" w:hAnsi="宋体" w:eastAsia="宋体" w:cs="宋体"/>
          <w:color w:val="auto"/>
          <w:highlight w:val="none"/>
          <w:lang w:val="zh-CN"/>
        </w:rPr>
        <w:t>注：以上月考核平均得分取整数分值，不计小数点后数值。</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lang w:val="zh-CN"/>
        </w:rPr>
        <w:t>（5）乙方有下列情形之一的，甲方有权终止采购合同，并没收</w:t>
      </w:r>
      <w:r>
        <w:rPr>
          <w:rFonts w:hint="eastAsia" w:ascii="宋体" w:hAnsi="宋体" w:eastAsia="宋体" w:cs="宋体"/>
          <w:color w:val="auto"/>
          <w:highlight w:val="none"/>
        </w:rPr>
        <w:t>履约保证金：</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A、不履行约定，造成公厕卫生质量差，一年内连续两次或累计三次月考核平均得分低于86分的。</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B、不按时落实整改或经整改仍不到位，一年内累计三次以上的。</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C 、乙方非法转包的。</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D 、因公厕（含污水抽吸转运）问题被省、市领导及区主要领导连续通报两次的。</w:t>
      </w:r>
    </w:p>
    <w:p>
      <w:pPr>
        <w:pStyle w:val="14"/>
        <w:widowControl/>
        <w:spacing w:line="495" w:lineRule="atLeast"/>
        <w:ind w:firstLine="360"/>
        <w:rPr>
          <w:rFonts w:ascii="宋体" w:hAnsi="宋体" w:eastAsia="宋体" w:cs="宋体"/>
          <w:color w:val="auto"/>
          <w:highlight w:val="none"/>
          <w:lang w:val="zh-CN"/>
        </w:rPr>
      </w:pPr>
      <w:r>
        <w:rPr>
          <w:rFonts w:hint="eastAsia" w:ascii="宋体" w:hAnsi="宋体" w:eastAsia="宋体" w:cs="宋体"/>
          <w:color w:val="auto"/>
          <w:highlight w:val="none"/>
        </w:rPr>
        <w:t>E、</w:t>
      </w:r>
      <w:r>
        <w:rPr>
          <w:rFonts w:hint="eastAsia" w:ascii="宋体" w:hAnsi="宋体" w:eastAsia="宋体" w:cs="宋体"/>
          <w:color w:val="auto"/>
          <w:highlight w:val="none"/>
          <w:lang w:val="zh-CN"/>
        </w:rPr>
        <w:t>因公厕</w:t>
      </w:r>
      <w:r>
        <w:rPr>
          <w:rFonts w:hint="eastAsia" w:ascii="宋体" w:hAnsi="宋体" w:eastAsia="宋体" w:cs="宋体"/>
          <w:color w:val="auto"/>
          <w:highlight w:val="none"/>
        </w:rPr>
        <w:t>（含污水抽吸转运）</w:t>
      </w:r>
      <w:r>
        <w:rPr>
          <w:rFonts w:hint="eastAsia" w:ascii="宋体" w:hAnsi="宋体" w:eastAsia="宋体" w:cs="宋体"/>
          <w:color w:val="auto"/>
          <w:highlight w:val="none"/>
          <w:lang w:val="zh-CN"/>
        </w:rPr>
        <w:t>问题被新闻媒体曝光两次的。</w:t>
      </w:r>
    </w:p>
    <w:p>
      <w:pPr>
        <w:pStyle w:val="14"/>
        <w:widowControl/>
        <w:spacing w:line="495" w:lineRule="atLeast"/>
        <w:ind w:firstLine="360"/>
        <w:rPr>
          <w:rFonts w:ascii="宋体" w:hAnsi="宋体" w:eastAsia="宋体" w:cs="宋体"/>
          <w:color w:val="auto"/>
          <w:highlight w:val="none"/>
          <w:lang w:val="zh-CN"/>
        </w:rPr>
      </w:pPr>
      <w:r>
        <w:rPr>
          <w:rFonts w:hint="eastAsia" w:ascii="宋体" w:hAnsi="宋体" w:eastAsia="宋体" w:cs="宋体"/>
          <w:color w:val="auto"/>
          <w:highlight w:val="none"/>
        </w:rPr>
        <w:t>F、</w:t>
      </w:r>
      <w:r>
        <w:rPr>
          <w:rFonts w:hint="eastAsia" w:ascii="宋体" w:hAnsi="宋体" w:eastAsia="宋体" w:cs="宋体"/>
          <w:color w:val="auto"/>
          <w:highlight w:val="none"/>
          <w:lang w:val="zh-CN"/>
        </w:rPr>
        <w:t>如乙方被终止合同，三年内不得参与本区环卫招投标项目。</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4.1.4.中标人前一个月的管养经费（含污水抽吸转运）作为考核保证金，根据考核情况处罚后于次月25号前核付中标人，经费采用“先作业后拨付”的方式。污水抽吸转运费用结合洋里污水厂当月的数据报表和招标文件，按洋里污水处理厂当月的数据报表中接收污水的吨数按实付费。每月实际统计数据低于参考数量（例：日83吨*当月实际天数），按实际数据结算经费；若实际统计数据高于参考数量，超出部分不予结算，由中标人自行承担。</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4.1.5.管养经费（含污水抽吸转运）采取包干制，包干内容包括人工费（人员工资、岗位津贴、法定节假日补贴、年终奖、高温费等）、规费（五险一金）、水电费、清渣维修费（公厕维护维修、清渣及疏通）、工具费（日常保洁工具、消杀器具、除臭去异味、绿植及药水费、公厕台账本、责任牌及管理标准牌等）、劳保费（服装、手套等）、人身意外险、体检费、卷纸、洗手液、企业管理费（管理人员工资、工会经费、雇主责任险等）、车辆折旧费、停车费、油耗、车辆维修保险、企业管理费、企业利润、企业税费等完成本项目所需的一切费用。</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4.1.6.合同有效期满中标人未能继续获取管理养护作业时，中标人要积极配合与下一管理养护作业单位交接，设施设备要完好无损交付给采购人（除企业自行购买车辆外）。不得以任何方式阻碍交接，影响采购人正常工作。合同有效期满后的30天前，若中标人未与采购人或下一中标人办妥相关交接手续，采购人有权要求中标人完成相关工作交接后，再支付上月管养经费。采购人并有权要求中标人按每逾期一天500元支付逾期费用，该费用可在采购人应付的承包费中扣除。</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4.2违约责任</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4.2.1.因中标人原因造成承包合同无法按时签订，视为中标人违约，采购人有权终止合同；中标人违约对采购人造成的损失的，中标人还需另行支付相应的赔偿。</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4.2.2.在签定承包合同之后，中标人要求解除合同的，视为中标人违约，中标人违约对采购人造成的损失的，需另行支付相应的赔偿。</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4.2.3.因中标人原因发生重大质量事故，除依约承担赔偿责任外，还将按有关质量管理办法规定执行。同时，采购人有权保留更换中标人的权利，并报相关行政主管部门处罚。</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4.2.4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保留更换中标人的权利，给采购人造成的损失，还应承担赔偿责任。</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4.2.5.在明确违约责任后，中标人应在接到书面通知书起七天内支付违约金、赔偿金等。</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4.2.6.本项目不允许中标人以任何名义和理由进行转包、分包，如有发现，采购人有权单方终止合同，并没收履约保证金。视为中标人违约，中标人违约对采购人造成的损失的，需另行支付相应的赔偿，并追究相关法律责任。</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4.3.其他要求</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4.3.1.关于现有保洁工人安置的问题。现有保洁工人如愿意留下，保洁公司应无条件予以接收，且三个月内不得辞退。</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4.3.2.投标人应保证不降低保洁人员工资待遇标准，必须按时支付员工工资，并严格落实《劳动法》，为员工办理相关保险(养老保险、医疗保险、失业保险、工伤保险和生育保险、人身意外伤害险等)，保障员工各项劳动权益。保洁人员经费，必须要安排用于工人劳动待遇和保障。</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4.3.3.采购方有权对中标方的资金投入情况进行监督。签订合同后10日内中标方必须向采购方提供作业人员名单，此名单与本项目招投标文件和中标方每月发放的人员工资、补贴、津贴和购买社保等情况将作为重要监管依据。</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4.3.4.投标人自行实地勘察。</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4.3.5.采购方有权对中标人进行实地勘察。</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4.3.6.中标方在合同执行期间，须接受采购方及其上级主管部门的监管。</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4.3.7.中标人须对其在服务期内所发生的安全生产、交通和其它所有安全事故负责，采购方不承担任何责任。</w:t>
      </w:r>
    </w:p>
    <w:p>
      <w:pPr>
        <w:pStyle w:val="14"/>
        <w:widowControl/>
        <w:spacing w:line="495" w:lineRule="atLeast"/>
        <w:ind w:firstLine="360"/>
        <w:rPr>
          <w:rFonts w:ascii="宋体" w:hAnsi="宋体" w:eastAsia="宋体" w:cs="宋体"/>
          <w:color w:val="auto"/>
          <w:highlight w:val="none"/>
        </w:rPr>
      </w:pPr>
      <w:r>
        <w:rPr>
          <w:rFonts w:hint="eastAsia" w:ascii="宋体" w:hAnsi="宋体" w:eastAsia="宋体" w:cs="宋体"/>
          <w:color w:val="auto"/>
          <w:highlight w:val="none"/>
        </w:rPr>
        <w:t>4.3.8.今后如有新建或者改造公厕，按实际予以增减。新建成的公厕，根据公厕所在街道属地由区城管局（环卫中心）委托对应的公厕管养中标企业同步管养，管养经费按单座公厕实际中标金额增加。如有合同包内公厕改造、重建或拆除等，管养经费按单座公厕实际中标金额扣减。转运站点及公厕污水抽吸转运如涉及政府改造或停用等原因，按测算吨数予以扣减中标金额。</w:t>
      </w:r>
    </w:p>
    <w:p>
      <w:pPr>
        <w:pStyle w:val="14"/>
        <w:widowControl/>
        <w:spacing w:line="495" w:lineRule="atLeast"/>
        <w:ind w:firstLine="480"/>
        <w:jc w:val="center"/>
        <w:rPr>
          <w:color w:val="auto"/>
          <w:highlight w:val="none"/>
        </w:rPr>
      </w:pPr>
      <w:r>
        <w:rPr>
          <w:rStyle w:val="20"/>
          <w:rFonts w:hint="eastAsia" w:ascii="宋体" w:hAnsi="宋体" w:eastAsia="宋体" w:cs="宋体"/>
          <w:bCs/>
          <w:color w:val="auto"/>
          <w:highlight w:val="none"/>
        </w:rPr>
        <w:t>第五节  双方权利义务</w:t>
      </w:r>
    </w:p>
    <w:p>
      <w:pPr>
        <w:pStyle w:val="14"/>
        <w:widowControl/>
        <w:spacing w:line="495" w:lineRule="atLeast"/>
        <w:ind w:firstLine="480"/>
        <w:rPr>
          <w:color w:val="auto"/>
          <w:highlight w:val="none"/>
        </w:rPr>
      </w:pPr>
      <w:r>
        <w:rPr>
          <w:rFonts w:hint="eastAsia" w:ascii="宋体" w:hAnsi="宋体" w:eastAsia="宋体" w:cs="宋体"/>
          <w:color w:val="auto"/>
          <w:highlight w:val="none"/>
        </w:rPr>
        <w:t>一、甲方的权利及义务</w:t>
      </w:r>
    </w:p>
    <w:p>
      <w:pPr>
        <w:pStyle w:val="14"/>
        <w:widowControl/>
        <w:spacing w:line="495" w:lineRule="atLeast"/>
        <w:ind w:firstLine="480"/>
        <w:rPr>
          <w:color w:val="auto"/>
          <w:highlight w:val="none"/>
        </w:rPr>
      </w:pPr>
      <w:r>
        <w:rPr>
          <w:rFonts w:hint="eastAsia" w:ascii="宋体" w:hAnsi="宋体" w:eastAsia="宋体" w:cs="宋体"/>
          <w:color w:val="auto"/>
          <w:highlight w:val="none"/>
        </w:rPr>
        <w:t>1、甲方及其上级行政部门和环卫专业管理部门有权组织对乙方作业管理、作业质量、作业安全等情况进行定期或不定期的检查考评，督促乙方对存在的问题进行整改。甲方应将每月检查考评情况通知乙方，检查考评结果作为每月发放给乙方承包费用的依据。(考评方式详见附件《福州市台江区公厕市场化管养考评评分标准》、《福州市台江区污水抽吸转运考核项目与标准》)。</w:t>
      </w:r>
    </w:p>
    <w:p>
      <w:pPr>
        <w:pStyle w:val="14"/>
        <w:widowControl/>
        <w:spacing w:line="495" w:lineRule="atLeast"/>
        <w:ind w:firstLine="480"/>
        <w:rPr>
          <w:color w:val="auto"/>
          <w:highlight w:val="none"/>
        </w:rPr>
      </w:pPr>
      <w:r>
        <w:rPr>
          <w:rFonts w:hint="eastAsia" w:ascii="宋体" w:hAnsi="宋体" w:eastAsia="宋体" w:cs="宋体"/>
          <w:color w:val="auto"/>
          <w:highlight w:val="none"/>
        </w:rPr>
        <w:t>2、甲方及其上级行政部门和劳动监察部门有权对乙方的用工情况进行检查，有权要求乙方按《劳动法》和招标确定的标准保障作业人员的福利待遇。</w:t>
      </w:r>
    </w:p>
    <w:p>
      <w:pPr>
        <w:pStyle w:val="14"/>
        <w:widowControl/>
        <w:spacing w:line="495" w:lineRule="atLeast"/>
        <w:ind w:firstLine="480"/>
        <w:rPr>
          <w:color w:val="auto"/>
          <w:highlight w:val="none"/>
        </w:rPr>
      </w:pPr>
      <w:r>
        <w:rPr>
          <w:rFonts w:hint="eastAsia" w:ascii="宋体" w:hAnsi="宋体" w:eastAsia="宋体" w:cs="宋体"/>
          <w:color w:val="auto"/>
          <w:highlight w:val="none"/>
        </w:rPr>
        <w:t>3、如遇重大活动或突击检查需要时，甲方应及时通知乙方做好服务区域保洁保障工作。</w:t>
      </w:r>
    </w:p>
    <w:p>
      <w:pPr>
        <w:pStyle w:val="14"/>
        <w:widowControl/>
        <w:spacing w:line="495" w:lineRule="atLeast"/>
        <w:ind w:firstLine="480"/>
        <w:rPr>
          <w:color w:val="auto"/>
          <w:highlight w:val="none"/>
        </w:rPr>
      </w:pPr>
      <w:r>
        <w:rPr>
          <w:rFonts w:hint="eastAsia" w:ascii="宋体" w:hAnsi="宋体" w:eastAsia="宋体" w:cs="宋体"/>
          <w:color w:val="auto"/>
          <w:highlight w:val="none"/>
        </w:rPr>
        <w:t>二、乙方的权利及义务</w:t>
      </w:r>
      <w:r>
        <w:rPr>
          <w:color w:val="auto"/>
          <w:highlight w:val="none"/>
        </w:rPr>
        <w:t xml:space="preserve"> </w:t>
      </w:r>
    </w:p>
    <w:p>
      <w:pPr>
        <w:pStyle w:val="14"/>
        <w:widowControl/>
        <w:spacing w:line="495" w:lineRule="atLeast"/>
        <w:ind w:firstLine="480"/>
        <w:rPr>
          <w:color w:val="auto"/>
          <w:highlight w:val="none"/>
        </w:rPr>
      </w:pPr>
      <w:r>
        <w:rPr>
          <w:rFonts w:hint="eastAsia" w:ascii="宋体" w:hAnsi="宋体" w:eastAsia="宋体" w:cs="宋体"/>
          <w:color w:val="auto"/>
          <w:highlight w:val="none"/>
        </w:rPr>
        <w:t>1、乙方必须依照招标确定的作业质量标准、作业方式及作业规范，按时、保质、保量完成日常作业。</w:t>
      </w:r>
    </w:p>
    <w:p>
      <w:pPr>
        <w:pStyle w:val="14"/>
        <w:widowControl/>
        <w:spacing w:line="495" w:lineRule="atLeast"/>
        <w:ind w:firstLine="480"/>
        <w:rPr>
          <w:color w:val="auto"/>
          <w:highlight w:val="none"/>
        </w:rPr>
      </w:pPr>
      <w:r>
        <w:rPr>
          <w:rFonts w:hint="eastAsia" w:ascii="宋体" w:hAnsi="宋体" w:eastAsia="宋体" w:cs="宋体"/>
          <w:color w:val="auto"/>
          <w:highlight w:val="none"/>
        </w:rPr>
        <w:t>2、乙方公厕保洁服务必须做到方案完整，措施有效扎实，管理责任清晰，符合预定要求，针对性、操作性强，计划安排科学合理；遵守投标文件中确定的质量承诺、发生各类安全事故善后处理承诺及规范用工等承诺。(详见合同附件</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14"/>
        <w:widowControl/>
        <w:spacing w:line="495" w:lineRule="atLeast"/>
        <w:ind w:firstLine="480"/>
        <w:rPr>
          <w:color w:val="auto"/>
          <w:highlight w:val="none"/>
        </w:rPr>
      </w:pPr>
      <w:r>
        <w:rPr>
          <w:rFonts w:hint="eastAsia" w:ascii="宋体" w:hAnsi="宋体" w:eastAsia="宋体" w:cs="宋体"/>
          <w:color w:val="auto"/>
          <w:highlight w:val="none"/>
        </w:rPr>
        <w:t>3、乙方承包服务项目必须配备项目主管、班组长、管理员等管理人员，必须有明确的内部考核制度，有专门的机构负责项目质量监管，有具体的质量管理考核细则。管理事项明确，组织、质量管理体系健全。</w:t>
      </w:r>
    </w:p>
    <w:p>
      <w:pPr>
        <w:pStyle w:val="14"/>
        <w:widowControl/>
        <w:spacing w:line="495" w:lineRule="atLeast"/>
        <w:ind w:firstLine="480"/>
        <w:rPr>
          <w:color w:val="auto"/>
          <w:highlight w:val="none"/>
        </w:rPr>
      </w:pPr>
      <w:r>
        <w:rPr>
          <w:rFonts w:hint="eastAsia" w:ascii="宋体" w:hAnsi="宋体" w:eastAsia="宋体" w:cs="宋体"/>
          <w:color w:val="auto"/>
          <w:highlight w:val="none"/>
        </w:rPr>
        <w:t>4、乙方必须自觉接受甲方及其各级行政主管部门的管理、监督和检查，根据需要提供相关的文件和资料，并配合检查工作。</w:t>
      </w:r>
    </w:p>
    <w:p>
      <w:pPr>
        <w:pStyle w:val="14"/>
        <w:widowControl/>
        <w:spacing w:line="495" w:lineRule="atLeast"/>
        <w:ind w:firstLine="480"/>
        <w:rPr>
          <w:color w:val="auto"/>
          <w:highlight w:val="none"/>
        </w:rPr>
      </w:pPr>
      <w:r>
        <w:rPr>
          <w:rFonts w:hint="eastAsia" w:ascii="宋体" w:hAnsi="宋体" w:eastAsia="宋体" w:cs="宋体"/>
          <w:color w:val="auto"/>
          <w:highlight w:val="none"/>
        </w:rPr>
        <w:t>5、乙方及其雇佣的员工应严格遵守国家法律、法规和相关规定。如乙方及其雇佣的员工违反法律、法规及相关规定，所造成的后果由乙方及其雇佣的员工自行承担，并负责消除负面影响。</w:t>
      </w:r>
    </w:p>
    <w:p>
      <w:pPr>
        <w:pStyle w:val="14"/>
        <w:widowControl/>
        <w:spacing w:line="495" w:lineRule="atLeast"/>
        <w:ind w:firstLine="480"/>
        <w:rPr>
          <w:color w:val="auto"/>
          <w:highlight w:val="none"/>
        </w:rPr>
      </w:pPr>
      <w:r>
        <w:rPr>
          <w:rFonts w:hint="eastAsia" w:ascii="宋体" w:hAnsi="宋体" w:eastAsia="宋体" w:cs="宋体"/>
          <w:color w:val="auto"/>
          <w:highlight w:val="none"/>
        </w:rPr>
        <w:t>6、乙方应制定突发事件应急预案，所雇佣的员工发生群体性事件，应马上启动应急预案，采取有效措施，及时控制和妥善处置群体性事件，并在10分钟内报告甲方。</w:t>
      </w:r>
    </w:p>
    <w:p>
      <w:pPr>
        <w:pStyle w:val="14"/>
        <w:widowControl/>
        <w:spacing w:line="495" w:lineRule="atLeast"/>
        <w:ind w:firstLine="480"/>
        <w:rPr>
          <w:color w:val="auto"/>
          <w:highlight w:val="none"/>
        </w:rPr>
      </w:pPr>
      <w:r>
        <w:rPr>
          <w:rFonts w:hint="eastAsia" w:ascii="宋体" w:hAnsi="宋体" w:eastAsia="宋体" w:cs="宋体"/>
          <w:color w:val="auto"/>
          <w:highlight w:val="none"/>
        </w:rPr>
        <w:t>7、乙方所雇佣的员工在使用乙方所属保洁工具过程中所发生的安全事故，由乙方自行负责，乙方必须马上采取措施补救并及时报告甲方。</w:t>
      </w:r>
    </w:p>
    <w:p>
      <w:pPr>
        <w:pStyle w:val="14"/>
        <w:widowControl/>
        <w:spacing w:line="495" w:lineRule="atLeast"/>
        <w:ind w:firstLine="480"/>
        <w:rPr>
          <w:color w:val="auto"/>
          <w:highlight w:val="none"/>
        </w:rPr>
      </w:pPr>
      <w:r>
        <w:rPr>
          <w:rFonts w:hint="eastAsia" w:ascii="宋体" w:hAnsi="宋体" w:eastAsia="宋体" w:cs="宋体"/>
          <w:color w:val="auto"/>
          <w:highlight w:val="none"/>
        </w:rPr>
        <w:t>8、乙方必须按时支付员工工资，保障员工各项劳动权益，确保员工劳动待遇不低于招标确定的标准，并严格落实《劳动法》，为员工办理相关保险(养老保险、医疗保险、失业保险、工伤保险和生育保险等)，保障员工各项劳动权益，确保员工劳动待遇不低于招标确定的标准。乙方应及时将办理员工相关保险凭证报给甲方，甲方予以审核后全额给付。若乙方未经甲方同意自行下调减少人员经费(含员工人数、人员工资、法定节假日补贴、季节性高温补贴、社保、医保、意外伤害险、税费等)，按相应经费的十倍进行扣罚。</w:t>
      </w:r>
    </w:p>
    <w:p>
      <w:pPr>
        <w:pStyle w:val="14"/>
        <w:widowControl/>
        <w:spacing w:line="495" w:lineRule="atLeast"/>
        <w:ind w:firstLine="480"/>
        <w:rPr>
          <w:color w:val="auto"/>
          <w:highlight w:val="none"/>
        </w:rPr>
      </w:pPr>
      <w:r>
        <w:rPr>
          <w:rFonts w:hint="eastAsia" w:ascii="宋体" w:hAnsi="宋体" w:eastAsia="宋体" w:cs="宋体"/>
          <w:color w:val="auto"/>
          <w:highlight w:val="none"/>
        </w:rPr>
        <w:t>9、如遇重大活动或突击检查任务，乙方须无条件服从甲方的安排。乙方在应对承包服务范围内的突发性事件、重大活动、所产生的额外经费,由乙方自行负责。</w:t>
      </w:r>
    </w:p>
    <w:p>
      <w:pPr>
        <w:pStyle w:val="14"/>
        <w:widowControl/>
        <w:spacing w:line="495" w:lineRule="atLeast"/>
        <w:ind w:firstLine="480"/>
        <w:rPr>
          <w:color w:val="auto"/>
          <w:highlight w:val="none"/>
        </w:rPr>
      </w:pPr>
      <w:r>
        <w:rPr>
          <w:rFonts w:hint="eastAsia" w:ascii="宋体" w:hAnsi="宋体" w:eastAsia="宋体" w:cs="宋体"/>
          <w:color w:val="auto"/>
          <w:highlight w:val="none"/>
        </w:rPr>
        <w:t>10、乙方应在福州市台江区辖区范围内注册成立全资子公司，并按属地原则在台江区结算业务并缴交税费。</w:t>
      </w:r>
    </w:p>
    <w:p>
      <w:pPr>
        <w:pStyle w:val="14"/>
        <w:widowControl/>
        <w:spacing w:line="495" w:lineRule="atLeast"/>
        <w:ind w:firstLine="480"/>
        <w:rPr>
          <w:color w:val="auto"/>
          <w:highlight w:val="none"/>
        </w:rPr>
      </w:pPr>
      <w:r>
        <w:rPr>
          <w:rFonts w:hint="eastAsia" w:ascii="宋体" w:hAnsi="宋体" w:eastAsia="宋体" w:cs="宋体"/>
          <w:color w:val="auto"/>
          <w:highlight w:val="none"/>
        </w:rPr>
        <w:t>11、未经甲方同意，乙方不得擅自将所承包的合同转包他人或肢解分包给他人。乙方如有违反，甲方有权单方面解除合同，由此产生的所有法律和经济责任由乙方承担。</w:t>
      </w:r>
    </w:p>
    <w:p>
      <w:pPr>
        <w:pStyle w:val="14"/>
        <w:widowControl/>
        <w:spacing w:line="495" w:lineRule="atLeast"/>
        <w:ind w:firstLine="480"/>
        <w:rPr>
          <w:color w:val="auto"/>
          <w:highlight w:val="none"/>
        </w:rPr>
      </w:pPr>
      <w:r>
        <w:rPr>
          <w:rFonts w:hint="eastAsia" w:ascii="宋体" w:hAnsi="宋体" w:eastAsia="宋体" w:cs="宋体"/>
          <w:color w:val="auto"/>
          <w:highlight w:val="none"/>
        </w:rPr>
        <w:t>12、合同履行期间若有未尽事宜，需经双方共同协商，作出补充规定。补充规定与本合同具有同等法律效力。</w:t>
      </w:r>
    </w:p>
    <w:p>
      <w:pPr>
        <w:pStyle w:val="14"/>
        <w:widowControl/>
        <w:spacing w:line="495" w:lineRule="atLeast"/>
        <w:ind w:firstLine="480"/>
        <w:jc w:val="center"/>
        <w:rPr>
          <w:color w:val="auto"/>
          <w:highlight w:val="none"/>
        </w:rPr>
      </w:pPr>
      <w:r>
        <w:rPr>
          <w:rStyle w:val="20"/>
          <w:rFonts w:hint="eastAsia" w:ascii="宋体" w:hAnsi="宋体" w:eastAsia="宋体" w:cs="宋体"/>
          <w:bCs/>
          <w:color w:val="auto"/>
          <w:highlight w:val="none"/>
        </w:rPr>
        <w:t>第六节  承包服务质量及要求</w:t>
      </w:r>
    </w:p>
    <w:p>
      <w:pPr>
        <w:pStyle w:val="14"/>
        <w:widowControl/>
        <w:spacing w:line="495" w:lineRule="atLeast"/>
        <w:ind w:firstLine="480"/>
        <w:rPr>
          <w:color w:val="auto"/>
          <w:highlight w:val="none"/>
        </w:rPr>
      </w:pPr>
      <w:r>
        <w:rPr>
          <w:rFonts w:hint="eastAsia" w:ascii="宋体" w:hAnsi="宋体" w:eastAsia="宋体" w:cs="宋体"/>
          <w:color w:val="auto"/>
          <w:highlight w:val="none"/>
        </w:rPr>
        <w:t>一、承包服务质量如下：</w:t>
      </w:r>
    </w:p>
    <w:p>
      <w:pPr>
        <w:pStyle w:val="14"/>
        <w:widowControl/>
        <w:spacing w:line="495" w:lineRule="atLeast"/>
        <w:ind w:firstLine="480"/>
        <w:rPr>
          <w:color w:val="auto"/>
          <w:highlight w:val="none"/>
        </w:rPr>
      </w:pPr>
      <w:r>
        <w:rPr>
          <w:rFonts w:hint="eastAsia" w:ascii="宋体" w:hAnsi="宋体" w:eastAsia="宋体" w:cs="宋体"/>
          <w:color w:val="auto"/>
          <w:highlight w:val="none"/>
        </w:rPr>
        <w:t>1、“十无”：无臭味，公厕地面无积水、无垃圾、无污渍，门窗墙壁无灰尘、无乱张贴，镜面台面无水迹，纸篓垃圾桶无满溢，小便斗、蹲坑无尿碱、无便渍。</w:t>
      </w:r>
    </w:p>
    <w:p>
      <w:pPr>
        <w:pStyle w:val="14"/>
        <w:widowControl/>
        <w:spacing w:line="495" w:lineRule="atLeast"/>
        <w:ind w:firstLine="480"/>
        <w:rPr>
          <w:color w:val="auto"/>
          <w:highlight w:val="none"/>
        </w:rPr>
      </w:pPr>
      <w:r>
        <w:rPr>
          <w:rFonts w:hint="eastAsia" w:ascii="宋体" w:hAnsi="宋体" w:eastAsia="宋体" w:cs="宋体"/>
          <w:color w:val="auto"/>
          <w:highlight w:val="none"/>
        </w:rPr>
        <w:t>2、“五有”： 有保洁员服务、有纸张、有洗手液、有绿植、有定位。</w:t>
      </w:r>
    </w:p>
    <w:p>
      <w:pPr>
        <w:pStyle w:val="14"/>
        <w:widowControl/>
        <w:spacing w:line="495" w:lineRule="atLeast"/>
        <w:ind w:firstLine="480"/>
        <w:rPr>
          <w:color w:val="auto"/>
          <w:highlight w:val="none"/>
        </w:rPr>
      </w:pPr>
      <w:r>
        <w:rPr>
          <w:rFonts w:hint="eastAsia" w:ascii="宋体" w:hAnsi="宋体" w:eastAsia="宋体" w:cs="宋体"/>
          <w:color w:val="auto"/>
          <w:highlight w:val="none"/>
        </w:rPr>
        <w:t>3、专人管理、按时开放。所有公厕门厅上墙要悬挂《公厕服务员服务要求》，注明开放时间（昼夜人流量大的地段24小时开放，主要干道和繁华地段公共场所5:30～24:00，其它公厕5:30～22:00），有专人管理、保洁，并按规定时间开放。</w:t>
      </w:r>
    </w:p>
    <w:p>
      <w:pPr>
        <w:pStyle w:val="14"/>
        <w:widowControl/>
        <w:spacing w:line="495" w:lineRule="atLeast"/>
        <w:ind w:firstLine="480"/>
        <w:rPr>
          <w:color w:val="auto"/>
          <w:highlight w:val="none"/>
        </w:rPr>
      </w:pPr>
      <w:r>
        <w:rPr>
          <w:rFonts w:hint="eastAsia" w:ascii="宋体" w:hAnsi="宋体" w:eastAsia="宋体" w:cs="宋体"/>
          <w:color w:val="auto"/>
          <w:highlight w:val="none"/>
        </w:rPr>
        <w:t>4、着装整齐，禁养禽宠。所有公厕保洁员要统一着装，佩戴统一样式的工作牌，仪容仪表规范整洁，言行举止文明得体，不得饲养各类家禽和宠物。</w:t>
      </w:r>
    </w:p>
    <w:p>
      <w:pPr>
        <w:pStyle w:val="14"/>
        <w:widowControl/>
        <w:spacing w:line="495" w:lineRule="atLeast"/>
        <w:ind w:firstLine="480"/>
        <w:rPr>
          <w:color w:val="auto"/>
          <w:highlight w:val="none"/>
        </w:rPr>
      </w:pPr>
      <w:r>
        <w:rPr>
          <w:rFonts w:hint="eastAsia" w:ascii="宋体" w:hAnsi="宋体" w:eastAsia="宋体" w:cs="宋体"/>
          <w:color w:val="auto"/>
          <w:highlight w:val="none"/>
        </w:rPr>
        <w:t>5、勤保洁、消杀。公厕服务员要在岗在位，实行随走随保，随时对厕内的卫生进行清洁。使用高峰时段即时增加1次有针对性的清扫冲洗，重点清洗洗手池台面及水池、大小便器的尿垢，清扫纸篓、垃圾桶里的纸屑。每天全面清扫冲洗4次，根据实际情况使用生物药水消杀、除臭1～2次。每月增加1～2次周期性大清理。</w:t>
      </w:r>
    </w:p>
    <w:p>
      <w:pPr>
        <w:pStyle w:val="14"/>
        <w:widowControl/>
        <w:spacing w:line="495" w:lineRule="atLeast"/>
        <w:ind w:firstLine="480"/>
        <w:rPr>
          <w:color w:val="auto"/>
          <w:highlight w:val="none"/>
        </w:rPr>
      </w:pPr>
      <w:r>
        <w:rPr>
          <w:rFonts w:hint="eastAsia" w:ascii="宋体" w:hAnsi="宋体" w:eastAsia="宋体" w:cs="宋体"/>
          <w:color w:val="auto"/>
          <w:highlight w:val="none"/>
        </w:rPr>
        <w:t>6、定期清掏化粪池。主要道路和繁华公共场所等人流量大的公厕每半年清理一次，其它公厕每年清理一次。</w:t>
      </w:r>
    </w:p>
    <w:p>
      <w:pPr>
        <w:pStyle w:val="14"/>
        <w:widowControl/>
        <w:spacing w:line="495" w:lineRule="atLeast"/>
        <w:ind w:firstLine="480"/>
        <w:rPr>
          <w:color w:val="auto"/>
          <w:highlight w:val="none"/>
        </w:rPr>
      </w:pPr>
      <w:r>
        <w:rPr>
          <w:rFonts w:hint="eastAsia" w:ascii="宋体" w:hAnsi="宋体" w:eastAsia="宋体" w:cs="宋体"/>
          <w:color w:val="auto"/>
          <w:highlight w:val="none"/>
        </w:rPr>
        <w:t>7、及时维护，确保设施完好。做好厕内设施维护，制度牌、保洁工具、消杀工具及消杀药品齐全，归类摆放，整齐有序。免费提供纸巾、洗手液，设置干手器，摆放绿色植物。损坏的厕内设施和照明灯具要及时修复、更换。</w:t>
      </w:r>
    </w:p>
    <w:p>
      <w:pPr>
        <w:pStyle w:val="14"/>
        <w:widowControl/>
        <w:spacing w:line="495" w:lineRule="atLeast"/>
        <w:ind w:firstLine="480"/>
        <w:rPr>
          <w:color w:val="auto"/>
          <w:highlight w:val="none"/>
        </w:rPr>
      </w:pPr>
      <w:r>
        <w:rPr>
          <w:rFonts w:hint="eastAsia" w:ascii="宋体" w:hAnsi="宋体" w:eastAsia="宋体" w:cs="宋体"/>
          <w:color w:val="auto"/>
          <w:highlight w:val="none"/>
        </w:rPr>
        <w:t>注：其他未尽事宜按照附件《福州市台江区公厕市场化管养考评评分标准》、《福州市台江区污水抽吸转运考核项目与标准》执行。</w:t>
      </w:r>
    </w:p>
    <w:p>
      <w:pPr>
        <w:pStyle w:val="14"/>
        <w:widowControl/>
        <w:spacing w:line="495" w:lineRule="atLeast"/>
        <w:ind w:right="105" w:firstLine="480"/>
        <w:jc w:val="center"/>
        <w:rPr>
          <w:color w:val="auto"/>
          <w:highlight w:val="none"/>
        </w:rPr>
      </w:pPr>
      <w:r>
        <w:rPr>
          <w:rStyle w:val="20"/>
          <w:rFonts w:hint="eastAsia" w:ascii="宋体" w:hAnsi="宋体" w:eastAsia="宋体" w:cs="宋体"/>
          <w:bCs/>
          <w:color w:val="auto"/>
          <w:highlight w:val="none"/>
        </w:rPr>
        <w:t>第七节  合同终止</w:t>
      </w:r>
    </w:p>
    <w:p>
      <w:pPr>
        <w:pStyle w:val="14"/>
        <w:widowControl/>
        <w:spacing w:line="495" w:lineRule="atLeast"/>
        <w:ind w:right="105" w:firstLine="480"/>
        <w:rPr>
          <w:color w:val="auto"/>
          <w:highlight w:val="none"/>
        </w:rPr>
      </w:pPr>
      <w:r>
        <w:rPr>
          <w:rFonts w:hint="eastAsia" w:ascii="宋体" w:hAnsi="宋体" w:eastAsia="宋体" w:cs="宋体"/>
          <w:color w:val="auto"/>
          <w:highlight w:val="none"/>
        </w:rPr>
        <w:t>一、合同到期终止</w:t>
      </w:r>
    </w:p>
    <w:p>
      <w:pPr>
        <w:pStyle w:val="14"/>
        <w:widowControl/>
        <w:spacing w:line="495" w:lineRule="atLeast"/>
        <w:ind w:right="105" w:firstLine="480"/>
        <w:rPr>
          <w:color w:val="auto"/>
          <w:highlight w:val="none"/>
        </w:rPr>
      </w:pPr>
      <w:r>
        <w:rPr>
          <w:rFonts w:hint="eastAsia" w:ascii="宋体" w:hAnsi="宋体" w:eastAsia="宋体" w:cs="宋体"/>
          <w:color w:val="auto"/>
          <w:highlight w:val="none"/>
        </w:rPr>
        <w:t>如乙方在承包期间没有发生违约，合同期限结束时本合同终止，甲方须在30日内将剩余款项结清。</w:t>
      </w:r>
    </w:p>
    <w:p>
      <w:pPr>
        <w:pStyle w:val="14"/>
        <w:widowControl/>
        <w:spacing w:line="495" w:lineRule="atLeast"/>
        <w:ind w:right="105" w:firstLine="480"/>
        <w:rPr>
          <w:color w:val="auto"/>
          <w:highlight w:val="none"/>
        </w:rPr>
      </w:pPr>
      <w:r>
        <w:rPr>
          <w:rFonts w:hint="eastAsia" w:ascii="宋体" w:hAnsi="宋体" w:eastAsia="宋体" w:cs="宋体"/>
          <w:color w:val="auto"/>
          <w:highlight w:val="none"/>
        </w:rPr>
        <w:t>如果任何一方有意续约，应在合同到期日30天之前提出，双方重新商订合同条款。</w:t>
      </w:r>
    </w:p>
    <w:p>
      <w:pPr>
        <w:pStyle w:val="14"/>
        <w:widowControl/>
        <w:spacing w:line="495" w:lineRule="atLeast"/>
        <w:ind w:right="105" w:firstLine="480"/>
        <w:rPr>
          <w:color w:val="auto"/>
          <w:highlight w:val="none"/>
        </w:rPr>
      </w:pPr>
      <w:r>
        <w:rPr>
          <w:rFonts w:hint="eastAsia" w:ascii="宋体" w:hAnsi="宋体" w:eastAsia="宋体" w:cs="宋体"/>
          <w:color w:val="auto"/>
          <w:highlight w:val="none"/>
        </w:rPr>
        <w:t>二、合同因政策原因或不可抗力解除</w:t>
      </w:r>
    </w:p>
    <w:p>
      <w:pPr>
        <w:pStyle w:val="14"/>
        <w:widowControl/>
        <w:spacing w:line="495" w:lineRule="atLeast"/>
        <w:ind w:right="105" w:firstLine="480"/>
        <w:rPr>
          <w:color w:val="auto"/>
          <w:highlight w:val="none"/>
        </w:rPr>
      </w:pPr>
      <w:r>
        <w:rPr>
          <w:rFonts w:hint="eastAsia" w:ascii="宋体" w:hAnsi="宋体" w:eastAsia="宋体" w:cs="宋体"/>
          <w:color w:val="auto"/>
          <w:highlight w:val="none"/>
        </w:rPr>
        <w:t>由于政策的变化和不可抗力以及其他甲乙双方之外的原因使合同不能履行，双方均有权解除合同，并互不负违约赔偿责任。</w:t>
      </w:r>
    </w:p>
    <w:p>
      <w:pPr>
        <w:pStyle w:val="14"/>
        <w:widowControl/>
        <w:spacing w:line="495" w:lineRule="atLeast"/>
        <w:ind w:right="105" w:firstLine="480"/>
        <w:rPr>
          <w:color w:val="auto"/>
          <w:highlight w:val="none"/>
        </w:rPr>
      </w:pPr>
      <w:r>
        <w:rPr>
          <w:rFonts w:hint="eastAsia" w:ascii="宋体" w:hAnsi="宋体" w:eastAsia="宋体" w:cs="宋体"/>
          <w:color w:val="auto"/>
          <w:highlight w:val="none"/>
        </w:rPr>
        <w:t>乙方应妥善做好承包项目的移交工作，并按甲方的要求做好善后清理工作。甲方须在乙方完成善后清理工作后30日内将剩余款项结清。</w:t>
      </w:r>
    </w:p>
    <w:p>
      <w:pPr>
        <w:pStyle w:val="14"/>
        <w:widowControl/>
        <w:spacing w:line="495" w:lineRule="atLeast"/>
        <w:ind w:right="105" w:firstLine="480"/>
        <w:rPr>
          <w:color w:val="auto"/>
          <w:highlight w:val="none"/>
        </w:rPr>
      </w:pPr>
      <w:r>
        <w:rPr>
          <w:rFonts w:hint="eastAsia" w:ascii="宋体" w:hAnsi="宋体" w:eastAsia="宋体" w:cs="宋体"/>
          <w:color w:val="auto"/>
          <w:highlight w:val="none"/>
        </w:rPr>
        <w:t>三、合同强制解除</w:t>
      </w:r>
    </w:p>
    <w:p>
      <w:pPr>
        <w:pStyle w:val="14"/>
        <w:widowControl/>
        <w:spacing w:line="495" w:lineRule="atLeast"/>
        <w:ind w:right="105" w:firstLine="480"/>
        <w:rPr>
          <w:color w:val="auto"/>
          <w:highlight w:val="none"/>
        </w:rPr>
      </w:pPr>
      <w:r>
        <w:rPr>
          <w:rFonts w:hint="eastAsia" w:ascii="宋体" w:hAnsi="宋体" w:eastAsia="宋体" w:cs="宋体"/>
          <w:color w:val="auto"/>
          <w:highlight w:val="none"/>
        </w:rPr>
        <w:t>1、经甲方考评(考评方法见附件《福州市台江区公厕市场化管养考评评分标准》、《福州市台江区污水抽吸转运考核项目与标准》)，乙方连续三个月考评平均得分低于86分，则甲方有权解除合同，责令乙方退出，并扣除保证金。</w:t>
      </w:r>
    </w:p>
    <w:p>
      <w:pPr>
        <w:pStyle w:val="14"/>
        <w:widowControl/>
        <w:spacing w:line="495" w:lineRule="atLeast"/>
        <w:ind w:right="105" w:firstLine="480"/>
        <w:rPr>
          <w:color w:val="auto"/>
          <w:highlight w:val="none"/>
        </w:rPr>
      </w:pPr>
      <w:r>
        <w:rPr>
          <w:rFonts w:hint="eastAsia" w:ascii="宋体" w:hAnsi="宋体" w:eastAsia="宋体" w:cs="宋体"/>
          <w:color w:val="auto"/>
          <w:highlight w:val="none"/>
        </w:rPr>
        <w:t>2、如乙方在承包期间发生违法行为，甲方依据其情节严重程度，在取得行政主管部门的同意后，有权临时接管乙方承包的服务项目，并可扣除保证金，解除承包合同。由此造成的损失由乙方承当。</w:t>
      </w:r>
    </w:p>
    <w:p>
      <w:pPr>
        <w:pStyle w:val="14"/>
        <w:widowControl/>
        <w:spacing w:line="495" w:lineRule="atLeast"/>
        <w:ind w:firstLine="480"/>
        <w:rPr>
          <w:color w:val="auto"/>
          <w:highlight w:val="none"/>
        </w:rPr>
      </w:pPr>
      <w:r>
        <w:rPr>
          <w:rFonts w:hint="eastAsia" w:ascii="宋体" w:hAnsi="宋体" w:eastAsia="宋体" w:cs="宋体"/>
          <w:color w:val="auto"/>
          <w:highlight w:val="none"/>
        </w:rPr>
        <w:t>3、如在承包期间乙方组织的管理机构、保洁人数、人员素质、机具数量与服务要求严重不符，无法完成公厕保洁任务，甲方有权强制解除合同并扣除保证金。</w:t>
      </w:r>
    </w:p>
    <w:p>
      <w:pPr>
        <w:pStyle w:val="14"/>
        <w:widowControl/>
        <w:spacing w:line="495" w:lineRule="atLeast"/>
        <w:ind w:firstLine="480"/>
        <w:rPr>
          <w:color w:val="auto"/>
          <w:highlight w:val="none"/>
        </w:rPr>
      </w:pPr>
      <w:r>
        <w:rPr>
          <w:rFonts w:hint="eastAsia" w:ascii="宋体" w:hAnsi="宋体" w:eastAsia="宋体" w:cs="宋体"/>
          <w:color w:val="auto"/>
          <w:highlight w:val="none"/>
        </w:rPr>
        <w:t>4、如经确认在承包期间乙方保洁人员的工资、保险、福利未达到招标确定的标准，或组织人员加班未按时足额发放加班费的(按照劳动法执行)，甲方有权强制解除合同并扣除保证金。</w:t>
      </w:r>
    </w:p>
    <w:p>
      <w:pPr>
        <w:pStyle w:val="14"/>
        <w:widowControl/>
        <w:spacing w:line="495" w:lineRule="atLeast"/>
        <w:ind w:firstLine="480"/>
        <w:rPr>
          <w:color w:val="auto"/>
          <w:highlight w:val="none"/>
        </w:rPr>
      </w:pPr>
      <w:r>
        <w:rPr>
          <w:rFonts w:hint="eastAsia" w:ascii="宋体" w:hAnsi="宋体" w:eastAsia="宋体" w:cs="宋体"/>
          <w:color w:val="auto"/>
          <w:highlight w:val="none"/>
        </w:rPr>
        <w:t>5、如在承包期间乙方因管理混乱或因违法、违规造成群体性事件的，甲方有权强制解除合同并扣除保证金。</w:t>
      </w:r>
    </w:p>
    <w:p>
      <w:pPr>
        <w:pStyle w:val="14"/>
        <w:widowControl/>
        <w:spacing w:line="495" w:lineRule="atLeast"/>
        <w:ind w:right="105" w:firstLine="480"/>
        <w:jc w:val="center"/>
        <w:rPr>
          <w:color w:val="auto"/>
          <w:highlight w:val="none"/>
        </w:rPr>
      </w:pPr>
      <w:r>
        <w:rPr>
          <w:rStyle w:val="20"/>
          <w:rFonts w:hint="eastAsia" w:ascii="宋体" w:hAnsi="宋体" w:eastAsia="宋体" w:cs="宋体"/>
          <w:bCs/>
          <w:color w:val="auto"/>
          <w:highlight w:val="none"/>
        </w:rPr>
        <w:t>第八节  附则</w:t>
      </w:r>
    </w:p>
    <w:p>
      <w:pPr>
        <w:pStyle w:val="14"/>
        <w:widowControl/>
        <w:spacing w:line="495" w:lineRule="atLeast"/>
        <w:ind w:right="105" w:firstLine="480"/>
        <w:rPr>
          <w:color w:val="auto"/>
          <w:highlight w:val="none"/>
        </w:rPr>
      </w:pPr>
      <w:r>
        <w:rPr>
          <w:rFonts w:hint="eastAsia" w:ascii="宋体" w:hAnsi="宋体" w:eastAsia="宋体" w:cs="宋体"/>
          <w:color w:val="auto"/>
          <w:highlight w:val="none"/>
        </w:rPr>
        <w:t>一、乙方须做好交接期间的人员安排、安抚工作。根据“双向选择”原则，原有保洁人员愿意留下的，乙方必须接受，且在交接后3个月内原则上不辞退原有工人，3个月后可根据实际需要调整。</w:t>
      </w:r>
    </w:p>
    <w:p>
      <w:pPr>
        <w:pStyle w:val="14"/>
        <w:widowControl/>
        <w:spacing w:line="495" w:lineRule="atLeast"/>
        <w:ind w:right="105" w:firstLine="480"/>
        <w:rPr>
          <w:color w:val="auto"/>
          <w:highlight w:val="none"/>
        </w:rPr>
      </w:pPr>
      <w:r>
        <w:rPr>
          <w:rFonts w:hint="eastAsia" w:ascii="宋体" w:hAnsi="宋体" w:eastAsia="宋体" w:cs="宋体"/>
          <w:color w:val="auto"/>
          <w:highlight w:val="none"/>
        </w:rPr>
        <w:t>二、所有招标过程中形成的文字资料、附件、服务承诺、招标要求等均作为本合同的组成部分，具有同等效力，如有不一致的以有利于甲方为准。</w:t>
      </w:r>
    </w:p>
    <w:p>
      <w:pPr>
        <w:pStyle w:val="14"/>
        <w:widowControl/>
        <w:spacing w:line="495" w:lineRule="atLeast"/>
        <w:ind w:right="105" w:firstLine="480"/>
        <w:jc w:val="center"/>
        <w:rPr>
          <w:color w:val="auto"/>
          <w:highlight w:val="none"/>
        </w:rPr>
      </w:pPr>
      <w:r>
        <w:rPr>
          <w:rStyle w:val="20"/>
          <w:rFonts w:hint="eastAsia" w:ascii="宋体" w:hAnsi="宋体" w:eastAsia="宋体" w:cs="宋体"/>
          <w:bCs/>
          <w:color w:val="auto"/>
          <w:highlight w:val="none"/>
        </w:rPr>
        <w:t>第九节  其他</w:t>
      </w:r>
    </w:p>
    <w:p>
      <w:pPr>
        <w:pStyle w:val="14"/>
        <w:widowControl/>
        <w:spacing w:line="495" w:lineRule="atLeast"/>
        <w:ind w:firstLine="480"/>
        <w:rPr>
          <w:color w:val="auto"/>
          <w:highlight w:val="none"/>
        </w:rPr>
      </w:pPr>
      <w:r>
        <w:rPr>
          <w:rFonts w:hint="eastAsia" w:ascii="宋体" w:hAnsi="宋体" w:eastAsia="宋体" w:cs="宋体"/>
          <w:color w:val="auto"/>
          <w:highlight w:val="none"/>
        </w:rPr>
        <w:t>一、合同纠纷处理方式：因本合同或与本合同有关的一切事项发生争议，由双方友好协商解决。协商不成的，向</w:t>
      </w:r>
      <w:r>
        <w:rPr>
          <w:rFonts w:hint="eastAsia" w:ascii="宋体" w:hAnsi="宋体" w:eastAsia="宋体" w:cs="宋体"/>
          <w:color w:val="auto"/>
          <w:highlight w:val="none"/>
          <w:lang w:val="en-US" w:eastAsia="zh-CN"/>
        </w:rPr>
        <w:t>有管辖权的</w:t>
      </w:r>
      <w:r>
        <w:rPr>
          <w:rFonts w:hint="eastAsia" w:ascii="宋体" w:hAnsi="宋体" w:eastAsia="宋体" w:cs="宋体"/>
          <w:color w:val="auto"/>
          <w:highlight w:val="none"/>
        </w:rPr>
        <w:t>人民法院提起诉讼。</w:t>
      </w:r>
    </w:p>
    <w:p>
      <w:pPr>
        <w:pStyle w:val="14"/>
        <w:widowControl/>
        <w:spacing w:line="495" w:lineRule="atLeast"/>
        <w:ind w:firstLine="480"/>
        <w:rPr>
          <w:color w:val="auto"/>
          <w:highlight w:val="none"/>
        </w:rPr>
      </w:pPr>
      <w:r>
        <w:rPr>
          <w:rFonts w:hint="eastAsia" w:ascii="宋体" w:hAnsi="宋体" w:eastAsia="宋体" w:cs="宋体"/>
          <w:color w:val="auto"/>
          <w:highlight w:val="none"/>
        </w:rPr>
        <w:t>二、其他约定</w:t>
      </w:r>
    </w:p>
    <w:p>
      <w:pPr>
        <w:pStyle w:val="14"/>
        <w:widowControl/>
        <w:spacing w:line="495" w:lineRule="atLeast"/>
        <w:ind w:firstLine="480"/>
        <w:rPr>
          <w:color w:val="auto"/>
          <w:highlight w:val="none"/>
        </w:rPr>
      </w:pPr>
      <w:r>
        <w:rPr>
          <w:rFonts w:hint="eastAsia" w:ascii="宋体" w:hAnsi="宋体" w:eastAsia="宋体" w:cs="宋体"/>
          <w:color w:val="auto"/>
          <w:highlight w:val="none"/>
        </w:rPr>
        <w:t>1、本采购项目的招标文件、中标人的投标文件以及相关的澄清确认函(如果有的话)均为本合同不可分割的一部分，与本合同具有同等法律效力。</w:t>
      </w:r>
    </w:p>
    <w:p>
      <w:pPr>
        <w:pStyle w:val="14"/>
        <w:widowControl/>
        <w:spacing w:line="495" w:lineRule="atLeast"/>
        <w:rPr>
          <w:color w:val="auto"/>
          <w:highlight w:val="none"/>
        </w:rPr>
      </w:pPr>
      <w:r>
        <w:rPr>
          <w:rFonts w:hint="eastAsia" w:ascii="宋体" w:hAnsi="宋体" w:eastAsia="宋体" w:cs="宋体"/>
          <w:color w:val="auto"/>
          <w:highlight w:val="none"/>
        </w:rPr>
        <w:t xml:space="preserve">    2、本合同未尽事宜，双方另行补充。</w:t>
      </w:r>
    </w:p>
    <w:p>
      <w:pPr>
        <w:pStyle w:val="14"/>
        <w:widowControl/>
        <w:spacing w:line="495" w:lineRule="atLeast"/>
        <w:ind w:right="105"/>
        <w:rPr>
          <w:color w:val="auto"/>
          <w:highlight w:val="none"/>
        </w:rPr>
      </w:pPr>
      <w:r>
        <w:rPr>
          <w:rFonts w:hint="eastAsia" w:ascii="宋体" w:hAnsi="宋体" w:eastAsia="宋体" w:cs="宋体"/>
          <w:color w:val="auto"/>
          <w:highlight w:val="none"/>
        </w:rPr>
        <w:t xml:space="preserve">    3、本合同一式四份，经双方授权代表签字并盖章后生效。甲方、乙方各执一份，送招标代 理机构存档一份，送招标项目行政监督部门备案一份，具有同等效力。</w:t>
      </w:r>
    </w:p>
    <w:p>
      <w:pPr>
        <w:pStyle w:val="14"/>
        <w:widowControl/>
        <w:spacing w:line="495" w:lineRule="atLeast"/>
        <w:rPr>
          <w:color w:val="auto"/>
          <w:highlight w:val="none"/>
        </w:rPr>
      </w:pPr>
      <w:r>
        <w:rPr>
          <w:rFonts w:hint="eastAsia" w:ascii="宋体" w:hAnsi="宋体" w:eastAsia="宋体" w:cs="宋体"/>
          <w:color w:val="auto"/>
          <w:highlight w:val="none"/>
        </w:rPr>
        <w:t>甲    方：                            乙    方：</w:t>
      </w:r>
    </w:p>
    <w:p>
      <w:pPr>
        <w:pStyle w:val="14"/>
        <w:widowControl/>
        <w:spacing w:line="495" w:lineRule="atLeast"/>
        <w:rPr>
          <w:color w:val="auto"/>
          <w:highlight w:val="none"/>
        </w:rPr>
      </w:pPr>
      <w:r>
        <w:rPr>
          <w:rFonts w:hint="eastAsia" w:ascii="宋体" w:hAnsi="宋体" w:eastAsia="宋体" w:cs="宋体"/>
          <w:color w:val="auto"/>
          <w:highlight w:val="none"/>
        </w:rPr>
        <w:t>单位地址：                            单位地址：</w:t>
      </w:r>
    </w:p>
    <w:p>
      <w:pPr>
        <w:pStyle w:val="14"/>
        <w:widowControl/>
        <w:spacing w:line="495" w:lineRule="atLeast"/>
        <w:rPr>
          <w:color w:val="auto"/>
          <w:highlight w:val="none"/>
        </w:rPr>
      </w:pPr>
      <w:r>
        <w:rPr>
          <w:rFonts w:hint="eastAsia" w:ascii="宋体" w:hAnsi="宋体" w:eastAsia="宋体" w:cs="宋体"/>
          <w:color w:val="auto"/>
          <w:highlight w:val="none"/>
        </w:rPr>
        <w:t>法定代表人：                          法定代表人：</w:t>
      </w:r>
    </w:p>
    <w:p>
      <w:pPr>
        <w:pStyle w:val="14"/>
        <w:widowControl/>
        <w:spacing w:line="495" w:lineRule="atLeast"/>
        <w:rPr>
          <w:color w:val="auto"/>
          <w:highlight w:val="none"/>
        </w:rPr>
      </w:pPr>
      <w:r>
        <w:rPr>
          <w:rFonts w:hint="eastAsia" w:ascii="宋体" w:hAnsi="宋体" w:eastAsia="宋体" w:cs="宋体"/>
          <w:color w:val="auto"/>
          <w:highlight w:val="none"/>
        </w:rPr>
        <w:t>委托 代 理 人：                       委托 代 理 人：</w:t>
      </w:r>
    </w:p>
    <w:p>
      <w:pPr>
        <w:pStyle w:val="14"/>
        <w:widowControl/>
        <w:spacing w:line="495" w:lineRule="atLeast"/>
        <w:rPr>
          <w:color w:val="auto"/>
          <w:highlight w:val="none"/>
        </w:rPr>
      </w:pPr>
      <w:r>
        <w:rPr>
          <w:rFonts w:hint="eastAsia" w:ascii="宋体" w:hAnsi="宋体" w:eastAsia="宋体" w:cs="宋体"/>
          <w:color w:val="auto"/>
          <w:highlight w:val="none"/>
        </w:rPr>
        <w:t>电    话：                            电    话：</w:t>
      </w:r>
    </w:p>
    <w:p>
      <w:pPr>
        <w:pStyle w:val="14"/>
        <w:widowControl/>
        <w:spacing w:line="495" w:lineRule="atLeast"/>
        <w:rPr>
          <w:color w:val="auto"/>
          <w:highlight w:val="none"/>
        </w:rPr>
      </w:pPr>
      <w:r>
        <w:rPr>
          <w:rFonts w:hint="eastAsia" w:ascii="宋体" w:hAnsi="宋体" w:eastAsia="宋体" w:cs="宋体"/>
          <w:color w:val="auto"/>
          <w:highlight w:val="none"/>
        </w:rPr>
        <w:t>开户银行：                            开户银行：</w:t>
      </w:r>
    </w:p>
    <w:p>
      <w:pPr>
        <w:pStyle w:val="14"/>
        <w:widowControl/>
        <w:spacing w:line="495" w:lineRule="atLeast"/>
        <w:rPr>
          <w:color w:val="auto"/>
          <w:highlight w:val="none"/>
        </w:rPr>
      </w:pPr>
      <w:r>
        <w:rPr>
          <w:rFonts w:hint="eastAsia" w:ascii="宋体" w:hAnsi="宋体" w:eastAsia="宋体" w:cs="宋体"/>
          <w:color w:val="auto"/>
          <w:highlight w:val="none"/>
        </w:rPr>
        <w:t>账    号：                            账    号：</w:t>
      </w:r>
    </w:p>
    <w:p>
      <w:pPr>
        <w:pStyle w:val="14"/>
        <w:widowControl/>
        <w:spacing w:before="75" w:beforeAutospacing="0" w:after="75" w:afterAutospacing="0"/>
        <w:jc w:val="both"/>
        <w:outlineLvl w:val="9"/>
        <w:rPr>
          <w:rStyle w:val="20"/>
          <w:rFonts w:ascii="宋体" w:hAnsi="宋体" w:eastAsia="宋体" w:cs="宋体"/>
          <w:color w:val="auto"/>
          <w:sz w:val="31"/>
          <w:szCs w:val="31"/>
          <w:highlight w:val="none"/>
        </w:rPr>
        <w:sectPr>
          <w:pgSz w:w="11906" w:h="16838"/>
          <w:pgMar w:top="1440" w:right="1800" w:bottom="1440" w:left="1800" w:header="851" w:footer="992" w:gutter="0"/>
          <w:cols w:space="425" w:num="1"/>
          <w:docGrid w:type="lines" w:linePitch="312" w:charSpace="0"/>
        </w:sectPr>
      </w:pPr>
    </w:p>
    <w:p>
      <w:pPr>
        <w:pStyle w:val="14"/>
        <w:widowControl/>
        <w:spacing w:before="75" w:beforeAutospacing="0" w:after="75" w:afterAutospacing="0"/>
        <w:jc w:val="center"/>
        <w:outlineLvl w:val="9"/>
        <w:rPr>
          <w:rStyle w:val="20"/>
          <w:rFonts w:ascii="宋体" w:hAnsi="宋体" w:eastAsia="宋体" w:cs="宋体"/>
          <w:color w:val="auto"/>
          <w:sz w:val="31"/>
          <w:szCs w:val="31"/>
          <w:highlight w:val="none"/>
        </w:rPr>
      </w:pPr>
    </w:p>
    <w:p>
      <w:pPr>
        <w:pStyle w:val="14"/>
        <w:widowControl/>
        <w:spacing w:before="75" w:beforeAutospacing="0" w:after="75" w:afterAutospacing="0"/>
        <w:jc w:val="center"/>
        <w:outlineLvl w:val="0"/>
        <w:rPr>
          <w:rFonts w:ascii="宋体" w:hAnsi="宋体" w:eastAsia="宋体" w:cs="宋体"/>
          <w:color w:val="auto"/>
          <w:highlight w:val="none"/>
        </w:rPr>
      </w:pPr>
      <w:bookmarkStart w:id="20" w:name="_Toc1275"/>
      <w:r>
        <w:rPr>
          <w:rStyle w:val="20"/>
          <w:rFonts w:hint="eastAsia" w:ascii="宋体" w:hAnsi="宋体" w:eastAsia="宋体" w:cs="宋体"/>
          <w:color w:val="auto"/>
          <w:sz w:val="31"/>
          <w:szCs w:val="31"/>
          <w:highlight w:val="none"/>
        </w:rPr>
        <w:t>第六章   政府采购合同（参考文本）</w:t>
      </w:r>
      <w:bookmarkEnd w:id="20"/>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编制说明</w:t>
      </w:r>
    </w:p>
    <w:p>
      <w:pPr>
        <w:pStyle w:val="14"/>
        <w:widowControl/>
        <w:spacing w:before="75" w:beforeAutospacing="0" w:after="75" w:afterAutospacing="0"/>
        <w:rPr>
          <w:rFonts w:ascii="宋体" w:hAnsi="宋体" w:eastAsia="宋体" w:cs="宋体"/>
          <w:color w:val="auto"/>
          <w:highlight w:val="none"/>
        </w:rPr>
      </w:pPr>
      <w:r>
        <w:rPr>
          <w:rStyle w:val="20"/>
          <w:rFonts w:hint="eastAsia" w:ascii="宋体" w:hAnsi="宋体" w:eastAsia="宋体" w:cs="宋体"/>
          <w:color w:val="auto"/>
          <w:highlight w:val="none"/>
        </w:rPr>
        <w:t>1、签订合同应遵守政府采购法、合同法。</w:t>
      </w:r>
    </w:p>
    <w:p>
      <w:pPr>
        <w:pStyle w:val="14"/>
        <w:widowControl/>
        <w:spacing w:before="75" w:beforeAutospacing="0" w:after="75" w:afterAutospacing="0"/>
        <w:rPr>
          <w:rFonts w:ascii="宋体" w:hAnsi="宋体" w:eastAsia="宋体" w:cs="宋体"/>
          <w:color w:val="auto"/>
          <w:highlight w:val="none"/>
        </w:rPr>
      </w:pPr>
      <w:r>
        <w:rPr>
          <w:rStyle w:val="20"/>
          <w:rFonts w:hint="eastAsia" w:ascii="宋体" w:hAnsi="宋体" w:eastAsia="宋体" w:cs="宋体"/>
          <w:color w:val="auto"/>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14"/>
        <w:widowControl/>
        <w:spacing w:before="75" w:beforeAutospacing="0" w:after="75" w:afterAutospacing="0"/>
        <w:rPr>
          <w:rFonts w:ascii="宋体" w:hAnsi="宋体" w:eastAsia="宋体" w:cs="宋体"/>
          <w:color w:val="auto"/>
          <w:highlight w:val="none"/>
        </w:rPr>
      </w:pPr>
      <w:r>
        <w:rPr>
          <w:rStyle w:val="20"/>
          <w:rFonts w:hint="eastAsia" w:ascii="宋体" w:hAnsi="宋体" w:eastAsia="宋体" w:cs="宋体"/>
          <w:color w:val="auto"/>
          <w:highlight w:val="none"/>
        </w:rPr>
        <w:t>3、国家有关部门对若干合同有规范文本的，可使用相应合同文本。</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u w:val="singl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（采购人全称）</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（中标人全称）</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根据招标编号为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u w:val="single"/>
        </w:rPr>
        <w:t>（填写“项目名称”）</w:t>
      </w:r>
      <w:r>
        <w:rPr>
          <w:rFonts w:hint="eastAsia" w:ascii="宋体" w:hAnsi="宋体" w:eastAsia="宋体" w:cs="宋体"/>
          <w:color w:val="auto"/>
          <w:highlight w:val="none"/>
        </w:rPr>
        <w:t>项目（以下简称：“本项目”）的招标结果，乙方为中标人。现经甲乙双方友好协商，就以下事项达成一致并签订本合同：</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1、下列合同文件是构成本合同不可分割的部分：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1.1合同条款；</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1.2招标文件、乙方的投标文件；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1.3其他文件或材料：□无。□（若有联合协议或分包意向协议）。</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2、合同标的</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u w:val="single"/>
        </w:rPr>
        <w:t>（按照实际情况编制填写，可以是表格或文字描述）</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3、合同总金额</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3.1合同总金额为人民币大写：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4、合同标的交付时间、地点和条件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4.1交付时间：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4.2交付地点：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4.3交付条件：</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5、合同标的应符合招标文件、乙方投标文件的规定或约定，具体如下：</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u w:val="single"/>
        </w:rPr>
        <w:t>（按照实际情况编制填写，可以是表格或文字描述）</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6、验收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6.1验收应按照招标文件、乙方投标文件的规定或约定进行，具体如下：</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u w:val="single"/>
        </w:rPr>
        <w:t>（按照实际情况编制填写，可以是表格或文字描述）</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6.2本项目是否邀请其他投标人参与验收：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□不邀请。□邀请，具体如下：</w:t>
      </w:r>
      <w:r>
        <w:rPr>
          <w:rFonts w:hint="eastAsia" w:ascii="宋体" w:hAnsi="宋体" w:eastAsia="宋体" w:cs="宋体"/>
          <w:color w:val="auto"/>
          <w:highlight w:val="none"/>
          <w:u w:val="single"/>
        </w:rPr>
        <w:t>（按照招标文件规定填写）</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7、合同款项的支付应按照招标文件的规定进行，具体如下：</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u w:val="single"/>
        </w:rPr>
        <w:t>（按照实际情况编制填写，可以是表格或文字描述，包括一次性支付或分期支付等）</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8、履约保证金</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□无。□有，具体如下：</w:t>
      </w:r>
      <w:r>
        <w:rPr>
          <w:rFonts w:hint="eastAsia" w:ascii="宋体" w:hAnsi="宋体" w:eastAsia="宋体" w:cs="宋体"/>
          <w:color w:val="auto"/>
          <w:highlight w:val="none"/>
          <w:u w:val="single"/>
        </w:rPr>
        <w:t>（按照招标文件规定填写）</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9、合同有效期</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u w:val="single"/>
        </w:rPr>
        <w:t>（按照实际情况编制填写，可以是表格或文字描述）</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10、违约责任</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u w:val="single"/>
        </w:rPr>
        <w:t>（按照实际情况编制填写，可以是表格或文字描述）</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11、知识产权</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highlight w:val="none"/>
          <w:u w:val="single"/>
        </w:rPr>
        <w:t>（按照实际情况编制填写）</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12、解决争议的方法</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12.1甲、乙双方协商解决。</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12.2若协商解决不成，则通过下列途径之一解决：</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□提交仲裁委员会仲裁，具体如下：</w:t>
      </w:r>
      <w:r>
        <w:rPr>
          <w:rFonts w:hint="eastAsia" w:ascii="宋体" w:hAnsi="宋体" w:eastAsia="宋体" w:cs="宋体"/>
          <w:color w:val="auto"/>
          <w:highlight w:val="none"/>
          <w:u w:val="single"/>
        </w:rPr>
        <w:t>（按照实际情况编制填写）</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□向人民法院提起诉讼，具体如下：</w:t>
      </w:r>
      <w:r>
        <w:rPr>
          <w:rFonts w:hint="eastAsia" w:ascii="宋体" w:hAnsi="宋体" w:eastAsia="宋体" w:cs="宋体"/>
          <w:color w:val="auto"/>
          <w:highlight w:val="none"/>
          <w:u w:val="single"/>
        </w:rPr>
        <w:t>（按照实际情况编制填写）</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13、不可抗力</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14、合同条款</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highlight w:val="none"/>
        </w:rPr>
        <w:t>。</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15、其他约定</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15.1合同文件与本合同具有同等法律效力。</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15.2本合同未尽事宜，双方可另行补充。</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15.4本合同一式</w:t>
      </w:r>
      <w:r>
        <w:rPr>
          <w:rFonts w:hint="eastAsia" w:ascii="宋体" w:hAnsi="宋体" w:eastAsia="宋体" w:cs="宋体"/>
          <w:color w:val="auto"/>
          <w:highlight w:val="none"/>
          <w:u w:val="single"/>
        </w:rPr>
        <w:t>（填写具体份数）</w:t>
      </w:r>
      <w:r>
        <w:rPr>
          <w:rFonts w:hint="eastAsia" w:ascii="宋体" w:hAnsi="宋体" w:eastAsia="宋体" w:cs="宋体"/>
          <w:color w:val="auto"/>
          <w:highlight w:val="none"/>
        </w:rPr>
        <w:t>份，经双方授权代表签字并盖章后生效。甲方、乙方各执</w:t>
      </w:r>
      <w:r>
        <w:rPr>
          <w:rFonts w:hint="eastAsia" w:ascii="宋体" w:hAnsi="宋体" w:eastAsia="宋体" w:cs="宋体"/>
          <w:color w:val="auto"/>
          <w:highlight w:val="none"/>
          <w:u w:val="single"/>
        </w:rPr>
        <w:t>（填写具体份数）</w:t>
      </w:r>
      <w:r>
        <w:rPr>
          <w:rFonts w:hint="eastAsia" w:ascii="宋体" w:hAnsi="宋体" w:eastAsia="宋体" w:cs="宋体"/>
          <w:color w:val="auto"/>
          <w:highlight w:val="none"/>
        </w:rPr>
        <w:t>份，送</w:t>
      </w:r>
      <w:r>
        <w:rPr>
          <w:rFonts w:hint="eastAsia" w:ascii="宋体" w:hAnsi="宋体" w:eastAsia="宋体" w:cs="宋体"/>
          <w:color w:val="auto"/>
          <w:highlight w:val="none"/>
          <w:u w:val="single"/>
        </w:rPr>
        <w:t>（填写需要备案的监管部门的全称）</w:t>
      </w:r>
      <w:r>
        <w:rPr>
          <w:rFonts w:hint="eastAsia" w:ascii="宋体" w:hAnsi="宋体" w:eastAsia="宋体" w:cs="宋体"/>
          <w:color w:val="auto"/>
          <w:highlight w:val="none"/>
        </w:rPr>
        <w:t>备案</w:t>
      </w:r>
      <w:r>
        <w:rPr>
          <w:rFonts w:hint="eastAsia" w:ascii="宋体" w:hAnsi="宋体" w:eastAsia="宋体" w:cs="宋体"/>
          <w:color w:val="auto"/>
          <w:highlight w:val="none"/>
          <w:u w:val="single"/>
        </w:rPr>
        <w:t>（填写具体份数）</w:t>
      </w:r>
      <w:r>
        <w:rPr>
          <w:rFonts w:hint="eastAsia" w:ascii="宋体" w:hAnsi="宋体" w:eastAsia="宋体" w:cs="宋体"/>
          <w:color w:val="auto"/>
          <w:highlight w:val="none"/>
        </w:rPr>
        <w:t>份，具有同等效力。</w:t>
      </w:r>
    </w:p>
    <w:p>
      <w:pPr>
        <w:pStyle w:val="14"/>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15.5其他：□无。□</w:t>
      </w:r>
      <w:r>
        <w:rPr>
          <w:rFonts w:hint="eastAsia" w:ascii="宋体" w:hAnsi="宋体" w:eastAsia="宋体" w:cs="宋体"/>
          <w:color w:val="auto"/>
          <w:highlight w:val="none"/>
          <w:u w:val="single"/>
        </w:rPr>
        <w:t>（按照实际情况编制填写需要增加的内容）</w:t>
      </w:r>
      <w:r>
        <w:rPr>
          <w:rFonts w:hint="eastAsia" w:ascii="宋体" w:hAnsi="宋体" w:eastAsia="宋体" w:cs="宋体"/>
          <w:color w:val="auto"/>
          <w:highlight w:val="none"/>
        </w:rPr>
        <w:t>。</w:t>
      </w:r>
    </w:p>
    <w:p>
      <w:pPr>
        <w:pStyle w:val="14"/>
        <w:widowControl/>
        <w:spacing w:before="75" w:beforeAutospacing="0" w:after="75" w:afterAutospacing="0"/>
        <w:jc w:val="center"/>
        <w:rPr>
          <w:rFonts w:ascii="宋体" w:hAnsi="宋体" w:eastAsia="宋体" w:cs="宋体"/>
          <w:color w:val="auto"/>
          <w:highlight w:val="none"/>
        </w:rPr>
      </w:pPr>
      <w:r>
        <w:rPr>
          <w:rFonts w:hint="eastAsia" w:ascii="宋体" w:hAnsi="宋体" w:eastAsia="宋体" w:cs="宋体"/>
          <w:color w:val="auto"/>
          <w:highlight w:val="none"/>
        </w:rPr>
        <w:t>（以下无正文）</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甲方：                     乙方：</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住所：                     住所：</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单位负责人：                  单位负责人：</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委托代理人：                  委托代理人：</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联系方法：                   联系方法：</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开户银行：                   开户银行：</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账号：                     账号：</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签订地点：</w:t>
      </w:r>
      <w:r>
        <w:rPr>
          <w:rFonts w:hint="eastAsia" w:ascii="宋体" w:hAnsi="宋体" w:eastAsia="宋体" w:cs="宋体"/>
          <w:color w:val="auto"/>
          <w:highlight w:val="none"/>
          <w:u w:val="singl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签订日期：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pStyle w:val="14"/>
        <w:widowControl/>
        <w:spacing w:before="75" w:beforeAutospacing="0" w:after="75" w:afterAutospacing="0"/>
        <w:jc w:val="center"/>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jc w:val="center"/>
        <w:rPr>
          <w:rFonts w:ascii="宋体" w:hAnsi="宋体" w:eastAsia="宋体" w:cs="宋体"/>
          <w:color w:val="auto"/>
          <w:highlight w:val="none"/>
        </w:rPr>
      </w:pPr>
      <w:r>
        <w:rPr>
          <w:rFonts w:hint="eastAsia" w:ascii="宋体" w:hAnsi="宋体" w:eastAsia="宋体" w:cs="宋体"/>
          <w:color w:val="auto"/>
          <w:highlight w:val="none"/>
        </w:rPr>
        <w:br w:type="page"/>
      </w:r>
    </w:p>
    <w:p>
      <w:pPr>
        <w:pStyle w:val="14"/>
        <w:widowControl/>
        <w:spacing w:before="75" w:beforeAutospacing="0" w:after="75" w:afterAutospacing="0"/>
        <w:jc w:val="center"/>
        <w:outlineLvl w:val="0"/>
        <w:rPr>
          <w:rFonts w:ascii="宋体" w:hAnsi="宋体" w:eastAsia="宋体" w:cs="宋体"/>
          <w:color w:val="auto"/>
          <w:highlight w:val="none"/>
        </w:rPr>
      </w:pPr>
      <w:bookmarkStart w:id="21" w:name="_Toc8911"/>
      <w:r>
        <w:rPr>
          <w:rStyle w:val="20"/>
          <w:rFonts w:hint="eastAsia" w:ascii="宋体" w:hAnsi="宋体" w:eastAsia="宋体" w:cs="宋体"/>
          <w:color w:val="auto"/>
          <w:sz w:val="31"/>
          <w:szCs w:val="31"/>
          <w:highlight w:val="none"/>
        </w:rPr>
        <w:t>第七章   投标文件格式</w:t>
      </w:r>
      <w:bookmarkEnd w:id="21"/>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highlight w:val="none"/>
        </w:rPr>
        <w:t>编制说明</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1、除招标文件另有规定外，本章中：</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1.1涉及投标人的</w:t>
      </w:r>
      <w:r>
        <w:rPr>
          <w:rStyle w:val="20"/>
          <w:rFonts w:hint="eastAsia" w:ascii="宋体" w:hAnsi="宋体" w:eastAsia="宋体" w:cs="宋体"/>
          <w:color w:val="auto"/>
          <w:highlight w:val="none"/>
        </w:rPr>
        <w:t>“全称”</w:t>
      </w:r>
      <w:r>
        <w:rPr>
          <w:rFonts w:hint="eastAsia" w:ascii="宋体" w:hAnsi="宋体" w:eastAsia="宋体" w:cs="宋体"/>
          <w:color w:val="auto"/>
          <w:highlight w:val="none"/>
        </w:rPr>
        <w:t>：</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（1）不接受联合体投标的，指</w:t>
      </w:r>
      <w:r>
        <w:rPr>
          <w:rStyle w:val="20"/>
          <w:rFonts w:hint="eastAsia" w:ascii="宋体" w:hAnsi="宋体" w:eastAsia="宋体" w:cs="宋体"/>
          <w:color w:val="auto"/>
          <w:highlight w:val="none"/>
        </w:rPr>
        <w:t>投标人的全称</w:t>
      </w:r>
      <w:r>
        <w:rPr>
          <w:rFonts w:hint="eastAsia" w:ascii="宋体" w:hAnsi="宋体" w:eastAsia="宋体" w:cs="宋体"/>
          <w:color w:val="auto"/>
          <w:highlight w:val="none"/>
        </w:rPr>
        <w:t>。</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（2）接受联合体投标且投标人为联合体的，指</w:t>
      </w:r>
      <w:r>
        <w:rPr>
          <w:rStyle w:val="20"/>
          <w:rFonts w:hint="eastAsia" w:ascii="宋体" w:hAnsi="宋体" w:eastAsia="宋体" w:cs="宋体"/>
          <w:color w:val="auto"/>
          <w:highlight w:val="none"/>
        </w:rPr>
        <w:t>牵头方的全称</w:t>
      </w:r>
      <w:r>
        <w:rPr>
          <w:rFonts w:hint="eastAsia" w:ascii="宋体" w:hAnsi="宋体" w:eastAsia="宋体" w:cs="宋体"/>
          <w:color w:val="auto"/>
          <w:highlight w:val="none"/>
        </w:rPr>
        <w:t>并加注</w:t>
      </w:r>
      <w:r>
        <w:rPr>
          <w:rStyle w:val="20"/>
          <w:rFonts w:hint="eastAsia" w:ascii="宋体" w:hAnsi="宋体" w:eastAsia="宋体" w:cs="宋体"/>
          <w:color w:val="auto"/>
          <w:highlight w:val="none"/>
        </w:rPr>
        <w:t>（联合体牵头方）</w:t>
      </w:r>
      <w:r>
        <w:rPr>
          <w:rFonts w:hint="eastAsia" w:ascii="宋体" w:hAnsi="宋体" w:eastAsia="宋体" w:cs="宋体"/>
          <w:color w:val="auto"/>
          <w:highlight w:val="none"/>
        </w:rPr>
        <w:t>，即应表述为：</w:t>
      </w:r>
      <w:r>
        <w:rPr>
          <w:rStyle w:val="20"/>
          <w:rFonts w:hint="eastAsia" w:ascii="宋体" w:hAnsi="宋体" w:eastAsia="宋体" w:cs="宋体"/>
          <w:color w:val="auto"/>
          <w:highlight w:val="none"/>
        </w:rPr>
        <w:t>“牵头方的全称（联合体牵头方）”</w:t>
      </w:r>
      <w:r>
        <w:rPr>
          <w:rFonts w:hint="eastAsia" w:ascii="宋体" w:hAnsi="宋体" w:eastAsia="宋体" w:cs="宋体"/>
          <w:color w:val="auto"/>
          <w:highlight w:val="none"/>
        </w:rPr>
        <w:t>。</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1.2涉及投标人</w:t>
      </w:r>
      <w:r>
        <w:rPr>
          <w:rStyle w:val="20"/>
          <w:rFonts w:hint="eastAsia" w:ascii="宋体" w:hAnsi="宋体" w:eastAsia="宋体" w:cs="宋体"/>
          <w:color w:val="auto"/>
          <w:highlight w:val="none"/>
        </w:rPr>
        <w:t>“加盖单位公章”</w:t>
      </w:r>
      <w:r>
        <w:rPr>
          <w:rFonts w:hint="eastAsia" w:ascii="宋体" w:hAnsi="宋体" w:eastAsia="宋体" w:cs="宋体"/>
          <w:color w:val="auto"/>
          <w:highlight w:val="none"/>
        </w:rPr>
        <w:t>：</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（1）不接受联合体投标的，指</w:t>
      </w:r>
      <w:r>
        <w:rPr>
          <w:rStyle w:val="20"/>
          <w:rFonts w:hint="eastAsia" w:ascii="宋体" w:hAnsi="宋体" w:eastAsia="宋体" w:cs="宋体"/>
          <w:color w:val="auto"/>
          <w:highlight w:val="none"/>
        </w:rPr>
        <w:t>加盖投标人的单位公章</w:t>
      </w:r>
      <w:r>
        <w:rPr>
          <w:rFonts w:hint="eastAsia" w:ascii="宋体" w:hAnsi="宋体" w:eastAsia="宋体" w:cs="宋体"/>
          <w:color w:val="auto"/>
          <w:highlight w:val="none"/>
        </w:rPr>
        <w:t>。</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（2）接受联合体投标且投标人为联合体的，指</w:t>
      </w:r>
      <w:r>
        <w:rPr>
          <w:rStyle w:val="20"/>
          <w:rFonts w:hint="eastAsia" w:ascii="宋体" w:hAnsi="宋体" w:eastAsia="宋体" w:cs="宋体"/>
          <w:color w:val="auto"/>
          <w:highlight w:val="none"/>
        </w:rPr>
        <w:t>加盖联合体牵头方的单位公章</w:t>
      </w:r>
      <w:r>
        <w:rPr>
          <w:rFonts w:hint="eastAsia" w:ascii="宋体" w:hAnsi="宋体" w:eastAsia="宋体" w:cs="宋体"/>
          <w:color w:val="auto"/>
          <w:highlight w:val="none"/>
        </w:rPr>
        <w:t>。</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1.3涉及</w:t>
      </w:r>
      <w:r>
        <w:rPr>
          <w:rStyle w:val="20"/>
          <w:rFonts w:hint="eastAsia" w:ascii="宋体" w:hAnsi="宋体" w:eastAsia="宋体" w:cs="宋体"/>
          <w:color w:val="auto"/>
          <w:highlight w:val="none"/>
        </w:rPr>
        <w:t>“投标人代表签字”</w:t>
      </w:r>
      <w:r>
        <w:rPr>
          <w:rFonts w:hint="eastAsia" w:ascii="宋体" w:hAnsi="宋体" w:eastAsia="宋体" w:cs="宋体"/>
          <w:color w:val="auto"/>
          <w:highlight w:val="none"/>
        </w:rPr>
        <w:t>：</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（1）不接受联合体投标的，指由</w:t>
      </w:r>
      <w:r>
        <w:rPr>
          <w:rStyle w:val="20"/>
          <w:rFonts w:hint="eastAsia" w:ascii="宋体" w:hAnsi="宋体" w:eastAsia="宋体" w:cs="宋体"/>
          <w:color w:val="auto"/>
          <w:highlight w:val="none"/>
        </w:rPr>
        <w:t>投标人的单位负责人或其授权的委托代理人签字</w:t>
      </w:r>
      <w:r>
        <w:rPr>
          <w:rFonts w:hint="eastAsia" w:ascii="宋体" w:hAnsi="宋体" w:eastAsia="宋体" w:cs="宋体"/>
          <w:color w:val="auto"/>
          <w:highlight w:val="none"/>
        </w:rPr>
        <w:t>，由委托代理人签字的，应提供“单位负责人授权书”。</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（2）接受联合体投标且投标人为联合体的，指由</w:t>
      </w:r>
      <w:r>
        <w:rPr>
          <w:rStyle w:val="20"/>
          <w:rFonts w:hint="eastAsia" w:ascii="宋体" w:hAnsi="宋体" w:eastAsia="宋体" w:cs="宋体"/>
          <w:color w:val="auto"/>
          <w:highlight w:val="none"/>
        </w:rPr>
        <w:t>联合体牵头方的单位负责人或其授权的委托代理人签字</w:t>
      </w:r>
      <w:r>
        <w:rPr>
          <w:rFonts w:hint="eastAsia" w:ascii="宋体" w:hAnsi="宋体" w:eastAsia="宋体" w:cs="宋体"/>
          <w:color w:val="auto"/>
          <w:highlight w:val="none"/>
        </w:rPr>
        <w:t>，由委托代理人签字的，应提供“单位负责人授权书”。</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1.4</w:t>
      </w:r>
      <w:r>
        <w:rPr>
          <w:rStyle w:val="20"/>
          <w:rFonts w:hint="eastAsia" w:ascii="宋体" w:hAnsi="宋体" w:eastAsia="宋体" w:cs="宋体"/>
          <w:color w:val="auto"/>
          <w:highlight w:val="none"/>
        </w:rPr>
        <w:t>“其他组织”</w:t>
      </w:r>
      <w:r>
        <w:rPr>
          <w:rFonts w:hint="eastAsia" w:ascii="宋体" w:hAnsi="宋体" w:eastAsia="宋体" w:cs="宋体"/>
          <w:color w:val="auto"/>
          <w:highlight w:val="none"/>
        </w:rPr>
        <w:t>指合伙企业、非企业专业服务机构、个体工商户、农村承包经营户等。</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1.5</w:t>
      </w:r>
      <w:r>
        <w:rPr>
          <w:rStyle w:val="20"/>
          <w:rFonts w:hint="eastAsia" w:ascii="宋体" w:hAnsi="宋体" w:eastAsia="宋体" w:cs="宋体"/>
          <w:color w:val="auto"/>
          <w:highlight w:val="none"/>
        </w:rPr>
        <w:t>“自然人”</w:t>
      </w:r>
      <w:r>
        <w:rPr>
          <w:rFonts w:hint="eastAsia" w:ascii="宋体" w:hAnsi="宋体" w:eastAsia="宋体" w:cs="宋体"/>
          <w:color w:val="auto"/>
          <w:highlight w:val="none"/>
        </w:rPr>
        <w:t>指具有完全民事行为能力、能够承担民事责任和义务的中国公民。</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2、除招标文件另有规定外，本章中</w:t>
      </w:r>
      <w:r>
        <w:rPr>
          <w:rStyle w:val="20"/>
          <w:rFonts w:hint="eastAsia" w:ascii="宋体" w:hAnsi="宋体" w:eastAsia="宋体" w:cs="宋体"/>
          <w:color w:val="auto"/>
          <w:highlight w:val="none"/>
        </w:rPr>
        <w:t>“投标人的资格及资信证明文件”</w:t>
      </w:r>
      <w:r>
        <w:rPr>
          <w:rFonts w:hint="eastAsia" w:ascii="宋体" w:hAnsi="宋体" w:eastAsia="宋体" w:cs="宋体"/>
          <w:color w:val="auto"/>
          <w:highlight w:val="none"/>
        </w:rPr>
        <w:t>：</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2.1投标人应按照招标文件第四章第1.3条第（2）款规定及本章规定进行编制，如有必要，可增加附页，附页作为资格及资信文件的组成部分。</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2.2接受联合体投标且投标人为联合体的，联合体中的各方均应按照本章第2.1条规定提交相应的全部资料。</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3、投标人对投标文件的索引应编制页码。</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4、除招标文件另有规定外，本章中：</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4.2除《检察机关行贿犯罪档案查询结果告知函》外，若投标人提供注明“复印件无效”的证明材料或资料，其纸质投标文件正本中应提供原件。</w:t>
      </w:r>
    </w:p>
    <w:p>
      <w:pPr>
        <w:pStyle w:val="14"/>
        <w:widowControl/>
        <w:spacing w:beforeAutospacing="0" w:after="150" w:afterAutospacing="0"/>
        <w:ind w:firstLine="480"/>
        <w:rPr>
          <w:rFonts w:ascii="宋体" w:hAnsi="宋体" w:eastAsia="宋体" w:cs="宋体"/>
          <w:color w:val="auto"/>
          <w:highlight w:val="none"/>
        </w:rPr>
      </w:pPr>
      <w:r>
        <w:rPr>
          <w:rFonts w:hint="eastAsia" w:ascii="宋体" w:hAnsi="宋体" w:eastAsia="宋体" w:cs="宋体"/>
          <w:color w:val="auto"/>
          <w:highlight w:val="none"/>
        </w:rPr>
        <w:t>4.3《检察机关行贿犯罪档案查询结果告知函》：投标人在纸质投标文件正本中提供原件、复印件（含扫描件）、符合本章规定的打印件（或截图）皆可。</w:t>
      </w:r>
    </w:p>
    <w:p>
      <w:pPr>
        <w:pStyle w:val="14"/>
        <w:widowControl/>
        <w:spacing w:beforeAutospacing="0" w:after="150" w:afterAutospacing="0"/>
        <w:rPr>
          <w:rFonts w:ascii="宋体" w:hAnsi="宋体" w:eastAsia="宋体" w:cs="宋体"/>
          <w:color w:val="auto"/>
          <w:highlight w:val="none"/>
        </w:rPr>
      </w:pP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br w:type="page"/>
      </w:r>
    </w:p>
    <w:p>
      <w:pPr>
        <w:pStyle w:val="14"/>
        <w:widowControl/>
        <w:spacing w:beforeAutospacing="0" w:after="150" w:afterAutospacing="0"/>
        <w:rPr>
          <w:rFonts w:ascii="宋体" w:hAnsi="宋体" w:eastAsia="宋体" w:cs="宋体"/>
          <w:color w:val="auto"/>
          <w:highlight w:val="none"/>
        </w:rPr>
      </w:pPr>
    </w:p>
    <w:p>
      <w:pPr>
        <w:pStyle w:val="14"/>
        <w:widowControl/>
        <w:spacing w:beforeAutospacing="0" w:after="150" w:afterAutospacing="0"/>
        <w:jc w:val="center"/>
        <w:outlineLvl w:val="0"/>
        <w:rPr>
          <w:rFonts w:ascii="宋体" w:hAnsi="宋体" w:eastAsia="宋体" w:cs="宋体"/>
          <w:color w:val="auto"/>
          <w:highlight w:val="none"/>
        </w:rPr>
      </w:pPr>
      <w:bookmarkStart w:id="22" w:name="_Toc23174"/>
      <w:r>
        <w:rPr>
          <w:rStyle w:val="20"/>
          <w:rFonts w:hint="eastAsia" w:ascii="宋体" w:hAnsi="宋体" w:eastAsia="宋体" w:cs="宋体"/>
          <w:color w:val="auto"/>
          <w:sz w:val="28"/>
          <w:szCs w:val="28"/>
          <w:highlight w:val="none"/>
        </w:rPr>
        <w:t>封面格式</w:t>
      </w:r>
      <w:bookmarkEnd w:id="22"/>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48"/>
          <w:szCs w:val="48"/>
          <w:highlight w:val="none"/>
        </w:rPr>
        <w:t>福建省政府采购投标文件</w:t>
      </w:r>
    </w:p>
    <w:p>
      <w:pPr>
        <w:pStyle w:val="14"/>
        <w:widowControl/>
        <w:spacing w:beforeAutospacing="0" w:after="150" w:afterAutospacing="0"/>
        <w:jc w:val="center"/>
        <w:outlineLvl w:val="0"/>
        <w:rPr>
          <w:rFonts w:ascii="宋体" w:hAnsi="宋体" w:eastAsia="宋体" w:cs="宋体"/>
          <w:color w:val="auto"/>
          <w:highlight w:val="none"/>
        </w:rPr>
      </w:pPr>
      <w:bookmarkStart w:id="23" w:name="_Toc17723"/>
      <w:r>
        <w:rPr>
          <w:rStyle w:val="20"/>
          <w:rFonts w:hint="eastAsia" w:ascii="宋体" w:hAnsi="宋体" w:eastAsia="宋体" w:cs="宋体"/>
          <w:color w:val="auto"/>
          <w:sz w:val="48"/>
          <w:szCs w:val="48"/>
          <w:highlight w:val="none"/>
        </w:rPr>
        <w:t>（资格及资信证明部分）</w:t>
      </w:r>
      <w:bookmarkEnd w:id="23"/>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36"/>
          <w:szCs w:val="36"/>
          <w:highlight w:val="none"/>
          <w:u w:val="single"/>
        </w:rPr>
        <w:t>（填写正本或副本）</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项目名称：</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备案编号：</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招标编号：</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所投合同包：</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31"/>
          <w:szCs w:val="31"/>
          <w:highlight w:val="none"/>
        </w:rPr>
        <w:t>投标人：</w:t>
      </w:r>
      <w:r>
        <w:rPr>
          <w:rStyle w:val="20"/>
          <w:rFonts w:hint="eastAsia" w:ascii="宋体" w:hAnsi="宋体" w:eastAsia="宋体" w:cs="宋体"/>
          <w:color w:val="auto"/>
          <w:sz w:val="31"/>
          <w:szCs w:val="31"/>
          <w:highlight w:val="none"/>
          <w:u w:val="single"/>
        </w:rPr>
        <w:t>（填写“全称”）</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31"/>
          <w:szCs w:val="31"/>
          <w:highlight w:val="none"/>
          <w:u w:val="single"/>
        </w:rPr>
        <w:t>（由投标人填写）</w:t>
      </w:r>
      <w:r>
        <w:rPr>
          <w:rStyle w:val="20"/>
          <w:rFonts w:hint="eastAsia" w:ascii="宋体" w:hAnsi="宋体" w:eastAsia="宋体" w:cs="宋体"/>
          <w:color w:val="auto"/>
          <w:sz w:val="31"/>
          <w:szCs w:val="31"/>
          <w:highlight w:val="none"/>
        </w:rPr>
        <w:t>年</w:t>
      </w:r>
      <w:r>
        <w:rPr>
          <w:rStyle w:val="20"/>
          <w:rFonts w:hint="eastAsia" w:ascii="宋体" w:hAnsi="宋体" w:eastAsia="宋体" w:cs="宋体"/>
          <w:color w:val="auto"/>
          <w:sz w:val="31"/>
          <w:szCs w:val="31"/>
          <w:highlight w:val="none"/>
          <w:u w:val="single"/>
        </w:rPr>
        <w:t>（由投标人填写）</w:t>
      </w:r>
      <w:r>
        <w:rPr>
          <w:rStyle w:val="20"/>
          <w:rFonts w:hint="eastAsia" w:ascii="宋体" w:hAnsi="宋体" w:eastAsia="宋体" w:cs="宋体"/>
          <w:color w:val="auto"/>
          <w:sz w:val="31"/>
          <w:szCs w:val="31"/>
          <w:highlight w:val="none"/>
        </w:rPr>
        <w:t>月</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8"/>
          <w:szCs w:val="28"/>
          <w:highlight w:val="none"/>
        </w:rPr>
      </w:pPr>
      <w:r>
        <w:rPr>
          <w:rStyle w:val="20"/>
          <w:rFonts w:hint="eastAsia" w:ascii="宋体" w:hAnsi="宋体" w:eastAsia="宋体" w:cs="宋体"/>
          <w:color w:val="auto"/>
          <w:sz w:val="28"/>
          <w:szCs w:val="28"/>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24" w:name="_Toc16195"/>
      <w:r>
        <w:rPr>
          <w:rStyle w:val="20"/>
          <w:rFonts w:hint="eastAsia" w:ascii="宋体" w:hAnsi="宋体" w:eastAsia="宋体" w:cs="宋体"/>
          <w:color w:val="auto"/>
          <w:sz w:val="28"/>
          <w:szCs w:val="28"/>
          <w:highlight w:val="none"/>
        </w:rPr>
        <w:t>索引</w:t>
      </w:r>
      <w:bookmarkEnd w:id="24"/>
    </w:p>
    <w:p>
      <w:pPr>
        <w:pStyle w:val="14"/>
        <w:widowControl/>
        <w:spacing w:beforeAutospacing="0" w:after="150" w:afterAutospacing="0"/>
        <w:outlineLvl w:val="0"/>
        <w:rPr>
          <w:rFonts w:ascii="宋体" w:hAnsi="宋体" w:eastAsia="宋体" w:cs="宋体"/>
          <w:color w:val="auto"/>
          <w:highlight w:val="none"/>
        </w:rPr>
      </w:pPr>
      <w:bookmarkStart w:id="25" w:name="_Toc5028"/>
      <w:r>
        <w:rPr>
          <w:rFonts w:hint="eastAsia" w:ascii="宋体" w:hAnsi="宋体" w:eastAsia="宋体" w:cs="宋体"/>
          <w:color w:val="auto"/>
          <w:sz w:val="28"/>
          <w:szCs w:val="28"/>
          <w:highlight w:val="none"/>
        </w:rPr>
        <w:t>一、投标函</w:t>
      </w:r>
      <w:bookmarkEnd w:id="25"/>
    </w:p>
    <w:p>
      <w:pPr>
        <w:pStyle w:val="14"/>
        <w:widowControl/>
        <w:spacing w:beforeAutospacing="0" w:after="150" w:afterAutospacing="0"/>
        <w:outlineLvl w:val="0"/>
        <w:rPr>
          <w:rFonts w:ascii="宋体" w:hAnsi="宋体" w:eastAsia="宋体" w:cs="宋体"/>
          <w:color w:val="auto"/>
          <w:highlight w:val="none"/>
        </w:rPr>
      </w:pPr>
      <w:bookmarkStart w:id="26" w:name="_Toc15429"/>
      <w:r>
        <w:rPr>
          <w:rFonts w:hint="eastAsia" w:ascii="宋体" w:hAnsi="宋体" w:eastAsia="宋体" w:cs="宋体"/>
          <w:color w:val="auto"/>
          <w:sz w:val="28"/>
          <w:szCs w:val="28"/>
          <w:highlight w:val="none"/>
        </w:rPr>
        <w:t>二、投标人的资格及资信证明文件</w:t>
      </w:r>
      <w:bookmarkEnd w:id="26"/>
    </w:p>
    <w:p>
      <w:pPr>
        <w:pStyle w:val="14"/>
        <w:widowControl/>
        <w:spacing w:beforeAutospacing="0" w:after="150" w:afterAutospacing="0"/>
        <w:outlineLvl w:val="0"/>
        <w:rPr>
          <w:rFonts w:ascii="宋体" w:hAnsi="宋体" w:eastAsia="宋体" w:cs="宋体"/>
          <w:color w:val="auto"/>
          <w:highlight w:val="none"/>
        </w:rPr>
      </w:pPr>
      <w:bookmarkStart w:id="27" w:name="_Toc18822"/>
      <w:r>
        <w:rPr>
          <w:rFonts w:hint="eastAsia" w:ascii="宋体" w:hAnsi="宋体" w:eastAsia="宋体" w:cs="宋体"/>
          <w:color w:val="auto"/>
          <w:sz w:val="28"/>
          <w:szCs w:val="28"/>
          <w:highlight w:val="none"/>
        </w:rPr>
        <w:t>三、投标保证金</w:t>
      </w:r>
      <w:bookmarkEnd w:id="27"/>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0"/>
        <w:rPr>
          <w:rFonts w:ascii="宋体" w:hAnsi="宋体" w:eastAsia="宋体" w:cs="宋体"/>
          <w:color w:val="auto"/>
          <w:highlight w:val="none"/>
        </w:rPr>
      </w:pPr>
      <w:bookmarkStart w:id="28" w:name="_Toc25347"/>
      <w:r>
        <w:rPr>
          <w:rFonts w:hint="eastAsia" w:ascii="宋体" w:hAnsi="宋体" w:eastAsia="宋体" w:cs="宋体"/>
          <w:color w:val="auto"/>
          <w:sz w:val="21"/>
          <w:szCs w:val="21"/>
          <w:highlight w:val="none"/>
        </w:rPr>
        <w:t>★注意</w:t>
      </w:r>
      <w:bookmarkEnd w:id="28"/>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资格及资信证明部分中不得出现报价部分的全部或部分的投标报价信息（或组成资料），否则</w:t>
      </w:r>
      <w:r>
        <w:rPr>
          <w:rStyle w:val="20"/>
          <w:rFonts w:hint="eastAsia" w:ascii="宋体" w:hAnsi="宋体" w:eastAsia="宋体" w:cs="宋体"/>
          <w:color w:val="auto"/>
          <w:sz w:val="21"/>
          <w:szCs w:val="21"/>
          <w:highlight w:val="none"/>
        </w:rPr>
        <w:t>资格审查不合格</w:t>
      </w: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highlight w:val="none"/>
        </w:rPr>
      </w:pP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29" w:name="_Toc3777"/>
      <w:r>
        <w:rPr>
          <w:rStyle w:val="20"/>
          <w:rFonts w:hint="eastAsia" w:ascii="宋体" w:hAnsi="宋体" w:eastAsia="宋体" w:cs="宋体"/>
          <w:color w:val="auto"/>
          <w:sz w:val="21"/>
          <w:szCs w:val="21"/>
          <w:highlight w:val="none"/>
        </w:rPr>
        <w:t>一、投标函</w:t>
      </w:r>
      <w:bookmarkEnd w:id="29"/>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兹收到贵单位关于</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）的投标邀请，本投标人代表</w:t>
      </w:r>
      <w:r>
        <w:rPr>
          <w:rFonts w:hint="eastAsia" w:ascii="宋体" w:hAnsi="宋体" w:eastAsia="宋体" w:cs="宋体"/>
          <w:color w:val="auto"/>
          <w:sz w:val="21"/>
          <w:szCs w:val="21"/>
          <w:highlight w:val="none"/>
          <w:u w:val="single"/>
        </w:rPr>
        <w:t>（填写“全名”）</w:t>
      </w:r>
      <w:r>
        <w:rPr>
          <w:rFonts w:hint="eastAsia" w:ascii="宋体" w:hAnsi="宋体" w:eastAsia="宋体" w:cs="宋体"/>
          <w:color w:val="auto"/>
          <w:sz w:val="21"/>
          <w:szCs w:val="21"/>
          <w:highlight w:val="none"/>
        </w:rPr>
        <w:t>已获得我方正式授权并代表投标人</w:t>
      </w:r>
      <w:r>
        <w:rPr>
          <w:rFonts w:hint="eastAsia" w:ascii="宋体" w:hAnsi="宋体" w:eastAsia="宋体" w:cs="宋体"/>
          <w:color w:val="auto"/>
          <w:sz w:val="21"/>
          <w:szCs w:val="21"/>
          <w:highlight w:val="none"/>
          <w:u w:val="single"/>
        </w:rPr>
        <w:t>（填写“全称”）</w:t>
      </w:r>
      <w:r>
        <w:rPr>
          <w:rFonts w:hint="eastAsia" w:ascii="宋体" w:hAnsi="宋体" w:eastAsia="宋体" w:cs="宋体"/>
          <w:color w:val="auto"/>
          <w:sz w:val="21"/>
          <w:szCs w:val="21"/>
          <w:highlight w:val="none"/>
        </w:rPr>
        <w:t>参加投标，并提交招标文件规定份数的投标文件正本和副本。我方提交的全部投标文件均由下述部分组成：</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（1）资格及资信证明部分</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①投标函</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②投标人的资格及资信证明文件</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③投标保证金</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（2）报价部分</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①开标一览表</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②投标分项报价表</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③招标文件规定的价格扣除证明材料（若有）</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④招标文件规定的加分证明材料（若有）</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（3）技术商务部分</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①标的说明一览表</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②技术和服务要求响应表</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③商务条件响应表</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④投标人提交的其他资料（若有）</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根据本函，本投标人代表宣布我方保证遵守招标文件的全部规定，同时：</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1、</w:t>
      </w:r>
      <w:r>
        <w:rPr>
          <w:rStyle w:val="20"/>
          <w:rFonts w:hint="eastAsia" w:ascii="宋体" w:hAnsi="宋体" w:eastAsia="宋体" w:cs="宋体"/>
          <w:color w:val="auto"/>
          <w:sz w:val="21"/>
          <w:szCs w:val="21"/>
          <w:highlight w:val="none"/>
        </w:rPr>
        <w:t>确认：</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1.1所投合同包的投标报价详见“开标一览表”及“投标分项报价表”。</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1.2我方已详细审查全部招标文件[包括但不限于：有关附件（若有）、澄清或修改（若有）等]，并自行承担因对全部招标文件理解不正确或误解而产生的相应后果和责任。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w:t>
      </w:r>
      <w:r>
        <w:rPr>
          <w:rStyle w:val="20"/>
          <w:rFonts w:hint="eastAsia" w:ascii="宋体" w:hAnsi="宋体" w:eastAsia="宋体" w:cs="宋体"/>
          <w:color w:val="auto"/>
          <w:sz w:val="21"/>
          <w:szCs w:val="21"/>
          <w:highlight w:val="none"/>
        </w:rPr>
        <w:t>承诺及声明：</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2.1我方具备招标文件第一章载明的“投标人的资格要求”且符合招标文件第三章载明的“二、投标人”之规定，否则</w:t>
      </w:r>
      <w:r>
        <w:rPr>
          <w:rStyle w:val="20"/>
          <w:rFonts w:hint="eastAsia" w:ascii="宋体" w:hAnsi="宋体" w:eastAsia="宋体" w:cs="宋体"/>
          <w:color w:val="auto"/>
          <w:sz w:val="21"/>
          <w:szCs w:val="21"/>
          <w:highlight w:val="none"/>
        </w:rPr>
        <w:t>投标无效。</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2.2我方提交的投标文件各组成部分的全部内容及资料是不可割离且真实、有效、准确、完整和不具有任何误导性的，否则产生不利后果由我方承担责任。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2.3我方提供的标的价格不高于同期市场价格，否则产生不利后果由我方承担责任。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2.4投标保证金：若出现招标文件第三章规定的不予退还情形，同意贵单位不予退还。</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2.5投标有效期：按照招标文件第三章规定执行，并在招标文件第二章载明的期限内保持有效。</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2.6若中标，将按照招标文件、我方投标文件及政府采购合同履行责任和义务。</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2.7若贵单位要求，我方同意提供与本项目投标有关的一切资料、数据或文件，并完全理解贵单位不一定要接受最低的投标报价或收到的任何投标。</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2.8除招标文件另有规定外，对于贵单位按照下述联络方式发出的任何信息或通知，均视为我方已收悉前述信息或通知的全部内容：</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联系方法：</w:t>
      </w:r>
      <w:r>
        <w:rPr>
          <w:rFonts w:hint="eastAsia" w:ascii="宋体" w:hAnsi="宋体" w:eastAsia="宋体" w:cs="宋体"/>
          <w:color w:val="auto"/>
          <w:sz w:val="21"/>
          <w:szCs w:val="21"/>
          <w:highlight w:val="none"/>
          <w:u w:val="single"/>
        </w:rPr>
        <w:t>（包括但不限于：联系人、联系电话、手机、传真、电子邮箱等）</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30" w:name="_Toc12055"/>
      <w:r>
        <w:rPr>
          <w:rStyle w:val="20"/>
          <w:rFonts w:hint="eastAsia" w:ascii="宋体" w:hAnsi="宋体" w:eastAsia="宋体" w:cs="宋体"/>
          <w:color w:val="auto"/>
          <w:sz w:val="21"/>
          <w:szCs w:val="21"/>
          <w:highlight w:val="none"/>
        </w:rPr>
        <w:t>二、投标人的资格及资信证明文件</w:t>
      </w:r>
      <w:bookmarkEnd w:id="30"/>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二-1单位负责人授权书（若有）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我方的单位负责人</w:t>
      </w:r>
      <w:r>
        <w:rPr>
          <w:rFonts w:hint="eastAsia" w:ascii="宋体" w:hAnsi="宋体" w:eastAsia="宋体" w:cs="宋体"/>
          <w:color w:val="auto"/>
          <w:sz w:val="21"/>
          <w:szCs w:val="21"/>
          <w:highlight w:val="none"/>
          <w:u w:val="single"/>
        </w:rPr>
        <w:t>（填写“单位负责人全名”）</w:t>
      </w:r>
      <w:r>
        <w:rPr>
          <w:rFonts w:hint="eastAsia" w:ascii="宋体" w:hAnsi="宋体" w:eastAsia="宋体" w:cs="宋体"/>
          <w:color w:val="auto"/>
          <w:sz w:val="21"/>
          <w:szCs w:val="21"/>
          <w:highlight w:val="none"/>
        </w:rPr>
        <w:t>授权</w:t>
      </w:r>
      <w:r>
        <w:rPr>
          <w:rFonts w:hint="eastAsia" w:ascii="宋体" w:hAnsi="宋体" w:eastAsia="宋体" w:cs="宋体"/>
          <w:color w:val="auto"/>
          <w:sz w:val="21"/>
          <w:szCs w:val="21"/>
          <w:highlight w:val="none"/>
          <w:u w:val="single"/>
        </w:rPr>
        <w:t>（填写“投标人代表全名”）</w:t>
      </w:r>
      <w:r>
        <w:rPr>
          <w:rFonts w:hint="eastAsia" w:ascii="宋体" w:hAnsi="宋体" w:eastAsia="宋体" w:cs="宋体"/>
          <w:color w:val="auto"/>
          <w:sz w:val="21"/>
          <w:szCs w:val="21"/>
          <w:highlight w:val="none"/>
        </w:rPr>
        <w:t>为投标人代表，代表我方参加</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投标人代表无转委权。特此授权。</w:t>
      </w:r>
    </w:p>
    <w:p>
      <w:pPr>
        <w:pStyle w:val="14"/>
        <w:widowControl/>
        <w:spacing w:beforeAutospacing="0" w:after="150" w:afterAutospacing="0"/>
        <w:jc w:val="center"/>
        <w:outlineLvl w:val="0"/>
        <w:rPr>
          <w:rFonts w:ascii="宋体" w:hAnsi="宋体" w:eastAsia="宋体" w:cs="宋体"/>
          <w:color w:val="auto"/>
          <w:highlight w:val="none"/>
        </w:rPr>
      </w:pPr>
      <w:bookmarkStart w:id="31" w:name="_Toc32469"/>
      <w:r>
        <w:rPr>
          <w:rFonts w:hint="eastAsia" w:ascii="宋体" w:hAnsi="宋体" w:eastAsia="宋体" w:cs="宋体"/>
          <w:color w:val="auto"/>
          <w:sz w:val="21"/>
          <w:szCs w:val="21"/>
          <w:highlight w:val="none"/>
        </w:rPr>
        <w:t>（以下无正文）</w:t>
      </w:r>
      <w:bookmarkEnd w:id="31"/>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单位负责人：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授权方</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单位负责人签字或盖章：</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接受授权方</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right"/>
        <w:rPr>
          <w:rFonts w:ascii="宋体" w:hAnsi="宋体" w:eastAsia="宋体" w:cs="宋体"/>
          <w:color w:val="auto"/>
          <w:highlight w:val="none"/>
        </w:rPr>
      </w:pPr>
      <w:r>
        <w:rPr>
          <w:rFonts w:hint="eastAsia" w:ascii="宋体" w:hAnsi="宋体" w:eastAsia="宋体" w:cs="宋体"/>
          <w:color w:val="auto"/>
          <w:sz w:val="21"/>
          <w:szCs w:val="21"/>
          <w:highlight w:val="none"/>
        </w:rPr>
        <w:t>签署日期：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附：单位负责人、投标人代表的身份证正反面复印件</w:t>
      </w:r>
    </w:p>
    <w:tbl>
      <w:tblPr>
        <w:tblStyle w:val="18"/>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21"/>
                <w:szCs w:val="21"/>
                <w:highlight w:val="none"/>
              </w:rPr>
              <w:t>要求：真实有效且内容完整、清晰、整洁。</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tc>
      </w:tr>
    </w:tbl>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1、企业（银行、保险、石油石化、电力、电信等行业除外）、事业单位和社会团体法人的“单位负责人”指</w:t>
      </w:r>
      <w:r>
        <w:rPr>
          <w:rStyle w:val="20"/>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rPr>
        <w:t>，即与实际提交的“营业执照等证明文件”载明的一致。</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3、投标人（自然人除外）：若投标人代表为单位负责人授权的委托代理人，应提供本授权书；若投标人代表为单位负责人，应在此项下提交其身份证正反面复印件，可不提供本授权书。</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4、投标人为自然人的，可不填写本授权书。</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5、纸质投标文件正本中的本授权书（若有）应为原件。</w:t>
      </w:r>
    </w:p>
    <w:p>
      <w:pPr>
        <w:pStyle w:val="14"/>
        <w:widowControl/>
        <w:spacing w:beforeAutospacing="0" w:after="150" w:afterAutospacing="0"/>
        <w:rPr>
          <w:rFonts w:ascii="宋体" w:hAnsi="宋体" w:eastAsia="宋体" w:cs="宋体"/>
          <w:color w:val="auto"/>
          <w:highlight w:val="none"/>
        </w:rPr>
      </w:pP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二-2营业执照等证明文件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）投标人为法人（包括企业、事业单位和社会团体）的</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签发的我方统一社会信用代码</w:t>
      </w:r>
      <w:r>
        <w:rPr>
          <w:rFonts w:hint="eastAsia" w:ascii="宋体" w:hAnsi="宋体" w:eastAsia="宋体" w:cs="宋体"/>
          <w:color w:val="auto"/>
          <w:sz w:val="21"/>
          <w:szCs w:val="21"/>
          <w:highlight w:val="none"/>
          <w:u w:val="single"/>
        </w:rPr>
        <w:t>（请填写法人的具体证照名称）</w:t>
      </w:r>
      <w:r>
        <w:rPr>
          <w:rFonts w:hint="eastAsia" w:ascii="宋体" w:hAnsi="宋体" w:eastAsia="宋体" w:cs="宋体"/>
          <w:color w:val="auto"/>
          <w:sz w:val="21"/>
          <w:szCs w:val="21"/>
          <w:highlight w:val="none"/>
        </w:rPr>
        <w:t>复印件，该证明材料真实有效，否则我方负全部责任。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）投标人为非法人（包括其他组织、自然人）的</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w:t>
      </w:r>
      <w:r>
        <w:rPr>
          <w:rFonts w:hint="eastAsia" w:ascii="宋体" w:hAnsi="宋体" w:eastAsia="宋体" w:cs="宋体"/>
          <w:color w:val="auto"/>
          <w:sz w:val="21"/>
          <w:szCs w:val="21"/>
          <w:highlight w:val="none"/>
          <w:u w:val="single"/>
        </w:rPr>
        <w:t>（请填写非自然人的非法人的具体证照名称）</w:t>
      </w:r>
      <w:r>
        <w:rPr>
          <w:rFonts w:hint="eastAsia" w:ascii="宋体" w:hAnsi="宋体" w:eastAsia="宋体" w:cs="宋体"/>
          <w:color w:val="auto"/>
          <w:sz w:val="21"/>
          <w:szCs w:val="21"/>
          <w:highlight w:val="none"/>
        </w:rPr>
        <w:t>复印件，该证明材料真实有效，否则我方负全部责任。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w:t>
      </w:r>
      <w:r>
        <w:rPr>
          <w:rFonts w:hint="eastAsia" w:ascii="宋体" w:hAnsi="宋体" w:eastAsia="宋体" w:cs="宋体"/>
          <w:color w:val="auto"/>
          <w:sz w:val="21"/>
          <w:szCs w:val="21"/>
          <w:highlight w:val="none"/>
          <w:u w:val="single"/>
        </w:rPr>
        <w:t>（请填写自然人的身份证件名称）</w:t>
      </w:r>
      <w:r>
        <w:rPr>
          <w:rFonts w:hint="eastAsia" w:ascii="宋体" w:hAnsi="宋体" w:eastAsia="宋体" w:cs="宋体"/>
          <w:color w:val="auto"/>
          <w:sz w:val="21"/>
          <w:szCs w:val="21"/>
          <w:highlight w:val="none"/>
        </w:rPr>
        <w:t>复印件，该证明材料真实有效，否则我方负全部责任。</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1、请投标人按照实际情况编制填写，在相应的（）中打“√”并选择相应的“□”（若有）后，再按照本格式的要求提供相应证明材料的复印件。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3、投标人提供的相应证明材料复印件均应符合：内容完整、清晰、整洁，并由投标人加盖其单位公章。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二-3财务状况报告（财务报告、或资信证明、或投标担保函）</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）投标人提供财务报告的</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□企业适用：现附上我方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财务报告复印件，包括资产负债表、利润表、现金流量表、所有者权益变动表（若有）及其附注（若有），上述证明材料真实有效，否则我方负全部责任。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□事业单位适用：现附上我方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财务报告复印件，包括资产负债表、收入支出表（或收入费用表）、财政补助收入支出表（若有），上述证明材料真实有效，否则我方负全部责任。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□社会团体适用：现附上我方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财务报告复印件，包括资产负债表、业务活动表、现金流量表，上述证明材料真实有效，否则我方负全部责任。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）投标人提供资信证明的</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□非自然人适用（包括企业、事业单位、社会团体和其他组织）：现附上我方银行：（填写“开户银行全称”）出具的资信证明复印件，上述证明材料真实有效，否则我方负全部责任。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□自然人适用：现附上我方银行：</w:t>
      </w:r>
      <w:r>
        <w:rPr>
          <w:rFonts w:hint="eastAsia" w:ascii="宋体" w:hAnsi="宋体" w:eastAsia="宋体" w:cs="宋体"/>
          <w:color w:val="auto"/>
          <w:sz w:val="21"/>
          <w:szCs w:val="21"/>
          <w:highlight w:val="none"/>
          <w:u w:val="single"/>
        </w:rPr>
        <w:t>（填写自然人的“个人账户的开户银行全称”）</w:t>
      </w:r>
      <w:r>
        <w:rPr>
          <w:rFonts w:hint="eastAsia" w:ascii="宋体" w:hAnsi="宋体" w:eastAsia="宋体" w:cs="宋体"/>
          <w:color w:val="auto"/>
          <w:sz w:val="21"/>
          <w:szCs w:val="21"/>
          <w:highlight w:val="none"/>
        </w:rPr>
        <w:t>出具的资信证明复印件，上述证明材料真实有效，否则我方负全部责任。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）投标人提供投标担保函的</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现附上由财政部门认可的政府采购专业担保机构：</w:t>
      </w:r>
      <w:r>
        <w:rPr>
          <w:rFonts w:hint="eastAsia" w:ascii="宋体" w:hAnsi="宋体" w:eastAsia="宋体" w:cs="宋体"/>
          <w:color w:val="auto"/>
          <w:sz w:val="21"/>
          <w:szCs w:val="21"/>
          <w:highlight w:val="none"/>
          <w:u w:val="single"/>
        </w:rPr>
        <w:t>（填写“担保机构全称”）</w:t>
      </w:r>
      <w:r>
        <w:rPr>
          <w:rFonts w:hint="eastAsia" w:ascii="宋体" w:hAnsi="宋体" w:eastAsia="宋体" w:cs="宋体"/>
          <w:color w:val="auto"/>
          <w:sz w:val="21"/>
          <w:szCs w:val="21"/>
          <w:highlight w:val="none"/>
        </w:rPr>
        <w:t>出具的投标担保函复印件，上述证明材料真实有效，否则我方负全部责任。</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1、请投标人按照实际情况编制填写，在相应的（）中打“√”并选择相应的“□”（若有）后，再按照本格式的要求提供相应证明材料的复印件。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2、投标人提供的财务报告复印件（成立年限按照投标截止时间推算）应符合下列规定：</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2.1成立年限满1年及以上的投标人，提供经审计的上一年度的年度财务报告。</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2.2成立年限满半年但不足1年的投标人，提供该半年度中任一季度的季度财务报告或该半年度的半年度财务报告。</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3、“财政部门认可的政府采购专业担保机构”应符合《财政部关于开展政府采购信用担保试点工作方案》（财库[2011]124号）的规定。</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Fonts w:hint="eastAsia" w:ascii="宋体" w:hAnsi="宋体" w:eastAsia="宋体" w:cs="宋体"/>
          <w:color w:val="auto"/>
          <w:sz w:val="21"/>
          <w:szCs w:val="21"/>
          <w:highlight w:val="none"/>
        </w:rPr>
        <w:t>二</w:t>
      </w:r>
      <w:r>
        <w:rPr>
          <w:rStyle w:val="20"/>
          <w:rFonts w:hint="eastAsia" w:ascii="宋体" w:hAnsi="宋体" w:eastAsia="宋体" w:cs="宋体"/>
          <w:color w:val="auto"/>
          <w:sz w:val="21"/>
          <w:szCs w:val="21"/>
          <w:highlight w:val="none"/>
        </w:rPr>
        <w:t>-4依法缴纳税收证明材料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1、依法缴纳税收的投标人</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）法人（包括企业、事业单位和社会团体）的</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日期间我方缴纳的</w:t>
      </w:r>
      <w:r>
        <w:rPr>
          <w:rFonts w:hint="eastAsia" w:ascii="宋体" w:hAnsi="宋体" w:eastAsia="宋体" w:cs="宋体"/>
          <w:color w:val="auto"/>
          <w:sz w:val="21"/>
          <w:szCs w:val="21"/>
          <w:highlight w:val="none"/>
          <w:u w:val="single"/>
        </w:rPr>
        <w:t>（按照投标人实际缴纳的税种名称填写，如：增值税、所得税等）</w:t>
      </w:r>
      <w:r>
        <w:rPr>
          <w:rFonts w:hint="eastAsia" w:ascii="宋体" w:hAnsi="宋体" w:eastAsia="宋体" w:cs="宋体"/>
          <w:color w:val="auto"/>
          <w:sz w:val="21"/>
          <w:szCs w:val="21"/>
          <w:highlight w:val="none"/>
        </w:rPr>
        <w:t>税收凭据复印件，上述证明材料真实有效，否则我方负全部责任。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）非法人（包括其他组织、自然人）的</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日期间我方缴纳的</w:t>
      </w:r>
      <w:r>
        <w:rPr>
          <w:rFonts w:hint="eastAsia" w:ascii="宋体" w:hAnsi="宋体" w:eastAsia="宋体" w:cs="宋体"/>
          <w:color w:val="auto"/>
          <w:sz w:val="21"/>
          <w:szCs w:val="21"/>
          <w:highlight w:val="none"/>
          <w:u w:val="single"/>
        </w:rPr>
        <w:t>（按照投标人实际缴纳的税种名称填写）</w:t>
      </w:r>
      <w:r>
        <w:rPr>
          <w:rFonts w:hint="eastAsia" w:ascii="宋体" w:hAnsi="宋体" w:eastAsia="宋体" w:cs="宋体"/>
          <w:color w:val="auto"/>
          <w:sz w:val="21"/>
          <w:szCs w:val="21"/>
          <w:highlight w:val="none"/>
        </w:rPr>
        <w:t>税收凭据复印件，上述证明材料真实有效，否则我方负全部责任。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2、依法免税的投标人</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）现附上我方依法免税证明材料复印件，上述证明材料真实有效，否则我方负全部责任。</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1、请投标人按照实际情况编制填写，在相应的（）中打“√”，并按照本格式的要求提供相应证明材料的复印件。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2、投标人提供的税收凭据复印件应符合下列规定：</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2.1投标截止时间前（不含投标截止时间的当月）已依法缴纳税收的投标人，提供投标截止时间前六个月（不含投标截止时间的当月）中任一月份的税收凭据复印件。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2.2投标截止时间的当月成立且已依法缴纳税收的投标人，提供投标截止时间当月的税收凭据复印件。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2.3投标截止时间的当月成立但因税务机关原因导致其尚未依法缴纳税收的投标人，提供依法缴纳税收承诺书原件（格式自拟），该承诺书视同税收凭据。</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w:t>
      </w:r>
      <w:r>
        <w:rPr>
          <w:rStyle w:val="20"/>
          <w:rFonts w:hint="eastAsia" w:ascii="宋体" w:hAnsi="宋体" w:eastAsia="宋体" w:cs="宋体"/>
          <w:color w:val="auto"/>
          <w:sz w:val="21"/>
          <w:szCs w:val="21"/>
          <w:highlight w:val="none"/>
        </w:rPr>
        <w:t>“依法缴纳税收证明材料”</w:t>
      </w:r>
      <w:r>
        <w:rPr>
          <w:rFonts w:hint="eastAsia" w:ascii="宋体" w:hAnsi="宋体" w:eastAsia="宋体" w:cs="宋体"/>
          <w:color w:val="auto"/>
          <w:sz w:val="21"/>
          <w:szCs w:val="21"/>
          <w:highlight w:val="none"/>
        </w:rPr>
        <w:t>有欠缴记录的，视为</w:t>
      </w:r>
      <w:r>
        <w:rPr>
          <w:rStyle w:val="20"/>
          <w:rFonts w:hint="eastAsia" w:ascii="宋体" w:hAnsi="宋体" w:eastAsia="宋体" w:cs="宋体"/>
          <w:color w:val="auto"/>
          <w:sz w:val="21"/>
          <w:szCs w:val="21"/>
          <w:highlight w:val="none"/>
        </w:rPr>
        <w:t>未依法缴纳税收。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二-5依法缴纳社会保障资金证明材料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1、依法缴纳社会保障资金的投标人</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）法人（包括企业、事业单位和社会团体）的</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）非法人（包括其他组织、自然人）的</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自</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2、依法不需要缴纳社会保障资金的投标人</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）现附上我方依法不需要缴纳社会保障资金证明材料复印件，上述证明材料真实有效，否则我方负全部责任。</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1、请投标人按照实际情况编制填写，在相应的（）中打“√”，并按照本格式的要求提供相应证明材料的复印件。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2、投标人提供的社会保险凭据复印件应符合下列规定：</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2.1投标截止时间前（不含投标截止时间的当月）已依法缴纳社会保障资金的投标人，提供投标截止时间前六个月（不含投标截止时间的当月）中任一月份的社会保险凭据复印件。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2.2投标截止时间的当月成立且已依法缴纳社会保障资金的投标人，提供投标截止时间当月的社会保险凭据复印件。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w:t>
      </w:r>
      <w:r>
        <w:rPr>
          <w:rStyle w:val="20"/>
          <w:rFonts w:hint="eastAsia" w:ascii="宋体" w:hAnsi="宋体" w:eastAsia="宋体" w:cs="宋体"/>
          <w:color w:val="auto"/>
          <w:sz w:val="21"/>
          <w:szCs w:val="21"/>
          <w:highlight w:val="none"/>
        </w:rPr>
        <w:t>“依法缴纳社会保障资金证明材料”</w:t>
      </w:r>
      <w:r>
        <w:rPr>
          <w:rFonts w:hint="eastAsia" w:ascii="宋体" w:hAnsi="宋体" w:eastAsia="宋体" w:cs="宋体"/>
          <w:color w:val="auto"/>
          <w:sz w:val="21"/>
          <w:szCs w:val="21"/>
          <w:highlight w:val="none"/>
        </w:rPr>
        <w:t>有欠缴记录的，视为</w:t>
      </w:r>
      <w:r>
        <w:rPr>
          <w:rStyle w:val="20"/>
          <w:rFonts w:hint="eastAsia" w:ascii="宋体" w:hAnsi="宋体" w:eastAsia="宋体" w:cs="宋体"/>
          <w:color w:val="auto"/>
          <w:sz w:val="21"/>
          <w:szCs w:val="21"/>
          <w:highlight w:val="none"/>
        </w:rPr>
        <w:t>未依法缴纳社会保障资金。</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Fonts w:hint="eastAsia" w:ascii="宋体" w:hAnsi="宋体" w:eastAsia="宋体" w:cs="宋体"/>
          <w:color w:val="auto"/>
          <w:sz w:val="21"/>
          <w:szCs w:val="21"/>
          <w:highlight w:val="none"/>
        </w:rPr>
        <w:t>二</w:t>
      </w:r>
      <w:r>
        <w:rPr>
          <w:rStyle w:val="20"/>
          <w:rFonts w:hint="eastAsia" w:ascii="宋体" w:hAnsi="宋体" w:eastAsia="宋体" w:cs="宋体"/>
          <w:color w:val="auto"/>
          <w:sz w:val="21"/>
          <w:szCs w:val="21"/>
          <w:highlight w:val="none"/>
        </w:rPr>
        <w:t>-6具备履行合同所必需设备和专业技术能力的声明函（若有）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我方具备履行合同所必需的设备和专业技术能力，否则产生不利后果由我方承担责任。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特此声明。</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1、招标文件未要求投标人提供“具备履行合同所必需的设备和专业技术能力专项证明材料”的，投标人应提供本声明函。</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2、招标文件要求投标人提供“具备履行合同所必需的设备和专业技术能力专项证明材料”的，投标人可不提供本声明函。</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3、纸质投标文件正本中的本声明函（若有）应为原件。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4、请投标人根据实际情况如实声明，否则</w:t>
      </w:r>
      <w:r>
        <w:rPr>
          <w:rStyle w:val="20"/>
          <w:rFonts w:hint="eastAsia" w:ascii="宋体" w:hAnsi="宋体" w:eastAsia="宋体" w:cs="宋体"/>
          <w:color w:val="auto"/>
          <w:sz w:val="21"/>
          <w:szCs w:val="21"/>
          <w:highlight w:val="none"/>
        </w:rPr>
        <w:t>视为提供虚假材料。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Fonts w:hint="eastAsia" w:ascii="宋体" w:hAnsi="宋体" w:eastAsia="宋体" w:cs="宋体"/>
          <w:color w:val="auto"/>
          <w:sz w:val="21"/>
          <w:szCs w:val="21"/>
          <w:highlight w:val="none"/>
        </w:rPr>
        <w:t>二</w:t>
      </w:r>
      <w:r>
        <w:rPr>
          <w:rStyle w:val="20"/>
          <w:rFonts w:hint="eastAsia" w:ascii="宋体" w:hAnsi="宋体" w:eastAsia="宋体" w:cs="宋体"/>
          <w:color w:val="auto"/>
          <w:sz w:val="21"/>
          <w:szCs w:val="21"/>
          <w:highlight w:val="none"/>
        </w:rPr>
        <w:t>-7参加采购活动前三年内在经营活动中没有重大违法记录书面声明</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参加采购活动前三年内，我方在经营活动中没有重大违法记录，也无行贿犯罪记录，否则产生不利后果由我方承担责任。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特此声明。</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1、“重大违法记录”指投标人因违法经营受到刑事处罚或责令停产停业、吊销许可证或执照、较大数额罚款等行政处罚。</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2、纸质投标文件正本中的本声明应为原件。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3、请投标人根据实际情况如实声明，否则</w:t>
      </w:r>
      <w:r>
        <w:rPr>
          <w:rStyle w:val="20"/>
          <w:rFonts w:hint="eastAsia" w:ascii="宋体" w:hAnsi="宋体" w:eastAsia="宋体" w:cs="宋体"/>
          <w:color w:val="auto"/>
          <w:sz w:val="21"/>
          <w:szCs w:val="21"/>
          <w:highlight w:val="none"/>
        </w:rPr>
        <w:t>视为提供虚假材料。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Fonts w:hint="eastAsia" w:ascii="宋体" w:hAnsi="宋体" w:eastAsia="宋体" w:cs="宋体"/>
          <w:color w:val="auto"/>
          <w:sz w:val="21"/>
          <w:szCs w:val="21"/>
          <w:highlight w:val="none"/>
        </w:rPr>
        <w:t>二</w:t>
      </w:r>
      <w:r>
        <w:rPr>
          <w:rStyle w:val="20"/>
          <w:rFonts w:hint="eastAsia" w:ascii="宋体" w:hAnsi="宋体" w:eastAsia="宋体" w:cs="宋体"/>
          <w:color w:val="auto"/>
          <w:sz w:val="21"/>
          <w:szCs w:val="21"/>
          <w:highlight w:val="none"/>
        </w:rPr>
        <w:t>-8信用记录查询结果</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现附上截至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时我方通过“信用中国”网站（www.creditchina.gov.cn）获取的我方信用信息查询结果</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份、通过中国政府采购网（www.ccgp.gov.cn）获取的我方信用信息查询结果</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份，上述信用信息查询结果真实有效，否则我方负全部责任。</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14"/>
        <w:widowControl/>
        <w:spacing w:beforeAutospacing="0" w:after="150" w:afterAutospacing="0"/>
        <w:rPr>
          <w:rFonts w:ascii="宋体" w:hAnsi="宋体" w:eastAsia="宋体" w:cs="宋体"/>
          <w:color w:val="auto"/>
          <w:highlight w:val="none"/>
        </w:rPr>
      </w:pP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both"/>
        <w:rPr>
          <w:rStyle w:val="20"/>
          <w:rFonts w:ascii="宋体" w:hAnsi="宋体" w:eastAsia="宋体" w:cs="宋体"/>
          <w:color w:val="auto"/>
          <w:sz w:val="21"/>
          <w:szCs w:val="21"/>
          <w:highlight w:val="none"/>
        </w:rPr>
      </w:pP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二-9检察机关行贿犯罪档案查询结果告知函</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检察机关行贿犯罪档案查询结果告知函（以下简称：“告知函”）由投标人向住所地或业务发生地检察院申请查询，具体以检察院出具的为准。</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1、未提供行贿犯罪档案查询结果或查询结果表明投标人有行贿犯罪记录的，</w:t>
      </w:r>
      <w:r>
        <w:rPr>
          <w:rStyle w:val="20"/>
          <w:rFonts w:hint="eastAsia" w:ascii="宋体" w:hAnsi="宋体" w:eastAsia="宋体" w:cs="宋体"/>
          <w:color w:val="auto"/>
          <w:sz w:val="21"/>
          <w:szCs w:val="21"/>
          <w:highlight w:val="none"/>
        </w:rPr>
        <w:t>投标无效。</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2、若从检察机关指定网站下载打印或截图告知函，则告知函应为从前述指定网站获取的查询结果原始页面的打印件（或截图），否则</w:t>
      </w:r>
      <w:r>
        <w:rPr>
          <w:rStyle w:val="20"/>
          <w:rFonts w:hint="eastAsia" w:ascii="宋体" w:hAnsi="宋体" w:eastAsia="宋体" w:cs="宋体"/>
          <w:color w:val="auto"/>
          <w:sz w:val="21"/>
          <w:szCs w:val="21"/>
          <w:highlight w:val="none"/>
        </w:rPr>
        <w:t>投标无效。</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3、告知函应在有效期内且内容完整、清晰、整洁，否则</w:t>
      </w:r>
      <w:r>
        <w:rPr>
          <w:rStyle w:val="20"/>
          <w:rFonts w:hint="eastAsia" w:ascii="宋体" w:hAnsi="宋体" w:eastAsia="宋体" w:cs="宋体"/>
          <w:color w:val="auto"/>
          <w:sz w:val="21"/>
          <w:szCs w:val="21"/>
          <w:highlight w:val="none"/>
        </w:rPr>
        <w:t>投标无效。</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4、有效期内的告知函复印件（含扫描件）及符合招标文件第七章规定的打印件（或截图），无论内容中是否注明“复印件无效”，</w:t>
      </w:r>
      <w:r>
        <w:rPr>
          <w:rStyle w:val="20"/>
          <w:rFonts w:hint="eastAsia" w:ascii="宋体" w:hAnsi="宋体" w:eastAsia="宋体" w:cs="宋体"/>
          <w:color w:val="auto"/>
          <w:sz w:val="21"/>
          <w:szCs w:val="21"/>
          <w:highlight w:val="none"/>
        </w:rPr>
        <w:t>均视同有效。</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5、无法获取有效期内检察机关行贿犯罪档案查询结果告知函的，应在《参加采购活动前三年内在经营活动中没有重大违法记录书面声明》中对近三年无行贿犯罪记录进行声明。</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二-10联合体协议（若有）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兹有</w:t>
      </w:r>
      <w:r>
        <w:rPr>
          <w:rFonts w:hint="eastAsia" w:ascii="宋体" w:hAnsi="宋体" w:eastAsia="宋体" w:cs="宋体"/>
          <w:color w:val="auto"/>
          <w:sz w:val="21"/>
          <w:szCs w:val="21"/>
          <w:highlight w:val="none"/>
          <w:u w:val="single"/>
        </w:rPr>
        <w:t>（填写“联合体中各方的全称”，各方的全称之间请用“、”分割）</w:t>
      </w:r>
      <w:r>
        <w:rPr>
          <w:rFonts w:hint="eastAsia" w:ascii="宋体" w:hAnsi="宋体" w:eastAsia="宋体" w:cs="宋体"/>
          <w:color w:val="auto"/>
          <w:sz w:val="21"/>
          <w:szCs w:val="21"/>
          <w:highlight w:val="none"/>
        </w:rPr>
        <w:t>自愿组成联合体，共同参加</w:t>
      </w:r>
      <w:r>
        <w:rPr>
          <w:rFonts w:hint="eastAsia" w:ascii="宋体" w:hAnsi="宋体" w:eastAsia="宋体" w:cs="宋体"/>
          <w:color w:val="auto"/>
          <w:sz w:val="21"/>
          <w:szCs w:val="21"/>
          <w:highlight w:val="none"/>
          <w:u w:val="single"/>
        </w:rPr>
        <w:t xml:space="preserve">（填写“项目名称”） </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）的投标。现就联合体参加本项目投标的有关事宜达成下列协议：</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一、联合体各方应承担的工作和义务具体如下：</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1、牵头方（</w:t>
      </w:r>
      <w:r>
        <w:rPr>
          <w:rFonts w:hint="eastAsia" w:ascii="宋体" w:hAnsi="宋体" w:eastAsia="宋体" w:cs="宋体"/>
          <w:color w:val="auto"/>
          <w:sz w:val="21"/>
          <w:szCs w:val="21"/>
          <w:highlight w:val="none"/>
          <w:u w:val="single"/>
        </w:rPr>
        <w:t>全称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（填写“工作及义务的具体内容”） </w:t>
      </w:r>
      <w:r>
        <w:rPr>
          <w:rFonts w:hint="eastAsia" w:ascii="宋体" w:hAnsi="宋体" w:eastAsia="宋体" w:cs="宋体"/>
          <w:color w:val="auto"/>
          <w:sz w:val="21"/>
          <w:szCs w:val="21"/>
          <w:highlight w:val="none"/>
        </w:rPr>
        <w:t>；</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2、成员方：</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u w:val="single"/>
        </w:rPr>
        <w:t>（成员一的全称）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（填写“工作及义务的具体内容”） </w:t>
      </w:r>
      <w:r>
        <w:rPr>
          <w:rFonts w:hint="eastAsia" w:ascii="宋体" w:hAnsi="宋体" w:eastAsia="宋体" w:cs="宋体"/>
          <w:color w:val="auto"/>
          <w:sz w:val="21"/>
          <w:szCs w:val="21"/>
          <w:highlight w:val="none"/>
        </w:rPr>
        <w:t>；</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二、联合体各方约定：</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1、由</w:t>
      </w:r>
      <w:r>
        <w:rPr>
          <w:rFonts w:hint="eastAsia" w:ascii="宋体" w:hAnsi="宋体" w:eastAsia="宋体" w:cs="宋体"/>
          <w:color w:val="auto"/>
          <w:sz w:val="21"/>
          <w:szCs w:val="21"/>
          <w:highlight w:val="none"/>
          <w:u w:val="single"/>
        </w:rPr>
        <w:t>（填写“牵头方的全称”）</w:t>
      </w:r>
      <w:r>
        <w:rPr>
          <w:rFonts w:hint="eastAsia" w:ascii="宋体" w:hAnsi="宋体" w:eastAsia="宋体" w:cs="宋体"/>
          <w:color w:val="auto"/>
          <w:sz w:val="21"/>
          <w:szCs w:val="21"/>
          <w:highlight w:val="none"/>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2、联合体各方约定由</w:t>
      </w:r>
      <w:r>
        <w:rPr>
          <w:rFonts w:hint="eastAsia" w:ascii="宋体" w:hAnsi="宋体" w:eastAsia="宋体" w:cs="宋体"/>
          <w:color w:val="auto"/>
          <w:sz w:val="21"/>
          <w:szCs w:val="21"/>
          <w:highlight w:val="none"/>
          <w:u w:val="single"/>
        </w:rPr>
        <w:t>（填写“牵头方的全称”）</w:t>
      </w:r>
      <w:r>
        <w:rPr>
          <w:rFonts w:hint="eastAsia" w:ascii="宋体" w:hAnsi="宋体" w:eastAsia="宋体" w:cs="宋体"/>
          <w:color w:val="auto"/>
          <w:sz w:val="21"/>
          <w:szCs w:val="21"/>
          <w:highlight w:val="none"/>
        </w:rPr>
        <w:t>代表联合体办理投标保证金事宜。</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3、根据福建省财政厅文件（闽财购[2008]10号）的规定，若本项目采用综合评分法，则联合体只能确定由其中一方的条件参与商务部分的评标。因此，联合体各方约定以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auto"/>
          <w:sz w:val="21"/>
          <w:szCs w:val="21"/>
          <w:highlight w:val="none"/>
          <w:u w:val="single"/>
        </w:rPr>
        <w:t>（应填写“其中一方的全称”，如：联合体确定以成员一的条件参与商务部分的评标，则填写“成员一的全称”…；否则填写“无”）</w:t>
      </w:r>
      <w:r>
        <w:rPr>
          <w:rFonts w:hint="eastAsia" w:ascii="宋体" w:hAnsi="宋体" w:eastAsia="宋体" w:cs="宋体"/>
          <w:color w:val="auto"/>
          <w:sz w:val="21"/>
          <w:szCs w:val="21"/>
          <w:highlight w:val="none"/>
        </w:rPr>
        <w:t>的条件参与商务部分的评标。</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三、若中标，牵头方将代表联合体与采购人就合同签订事宜进行协商；若协商一致，则联合体各方将共同与采购人签订政府采购合同，并就政府采购合同约定的事项对采购人承担连带责任。</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四、本协议自签署之日起生效，政府采购合同履行完毕后自动失效。</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五、本协议一式</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份，联合体各方各执一份，投标文件中提交一份。</w:t>
      </w:r>
    </w:p>
    <w:p>
      <w:pPr>
        <w:pStyle w:val="14"/>
        <w:widowControl/>
        <w:spacing w:beforeAutospacing="0" w:after="150" w:afterAutospacing="0"/>
        <w:jc w:val="center"/>
        <w:outlineLvl w:val="0"/>
        <w:rPr>
          <w:rFonts w:ascii="宋体" w:hAnsi="宋体" w:eastAsia="宋体" w:cs="宋体"/>
          <w:color w:val="auto"/>
          <w:highlight w:val="none"/>
        </w:rPr>
      </w:pPr>
      <w:bookmarkStart w:id="32" w:name="_Toc27404"/>
      <w:r>
        <w:rPr>
          <w:rFonts w:hint="eastAsia" w:ascii="宋体" w:hAnsi="宋体" w:eastAsia="宋体" w:cs="宋体"/>
          <w:color w:val="auto"/>
          <w:sz w:val="21"/>
          <w:szCs w:val="21"/>
          <w:highlight w:val="none"/>
        </w:rPr>
        <w:t>（以下无正文）</w:t>
      </w:r>
      <w:bookmarkEnd w:id="32"/>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牵头方：</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xml:space="preserve">  （签字或盖章）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成员一：</w:t>
      </w:r>
      <w:r>
        <w:rPr>
          <w:rFonts w:hint="eastAsia" w:ascii="宋体" w:hAnsi="宋体" w:eastAsia="宋体" w:cs="宋体"/>
          <w:color w:val="auto"/>
          <w:sz w:val="21"/>
          <w:szCs w:val="21"/>
          <w:highlight w:val="none"/>
          <w:u w:val="single"/>
        </w:rPr>
        <w:t>（全称并加盖成员一的单位公章）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xml:space="preserve">  （签字或盖章）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成员**：</w:t>
      </w:r>
      <w:r>
        <w:rPr>
          <w:rFonts w:hint="eastAsia" w:ascii="宋体" w:hAnsi="宋体" w:eastAsia="宋体" w:cs="宋体"/>
          <w:color w:val="auto"/>
          <w:sz w:val="21"/>
          <w:szCs w:val="21"/>
          <w:highlight w:val="none"/>
          <w:u w:val="single"/>
        </w:rPr>
        <w:t>（全称并加盖成员**的单位公章）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xml:space="preserve">  （签字或盖章）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right"/>
        <w:rPr>
          <w:rFonts w:ascii="宋体" w:hAnsi="宋体" w:eastAsia="宋体" w:cs="宋体"/>
          <w:color w:val="auto"/>
          <w:highlight w:val="none"/>
        </w:rPr>
      </w:pPr>
      <w:r>
        <w:rPr>
          <w:rFonts w:hint="eastAsia" w:ascii="宋体" w:hAnsi="宋体" w:eastAsia="宋体" w:cs="宋体"/>
          <w:color w:val="auto"/>
          <w:sz w:val="21"/>
          <w:szCs w:val="21"/>
          <w:highlight w:val="none"/>
        </w:rPr>
        <w:t>签署日期：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1、招标文件接受联合体投标且投标人为联合体的，投标人应提供本协议；否则无须提供。</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2、本协议由委托代理人签字或盖章的，应按照本章载明的格式提供“单位负责人授权书”。</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3、纸质投标文件正本中的本协议（若有）应为原件。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二-11中小企业声明函</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21"/>
          <w:szCs w:val="21"/>
          <w:highlight w:val="none"/>
        </w:rPr>
        <w:t>（专门面向中小企业或小型、微型企业适用，若有）</w:t>
      </w:r>
    </w:p>
    <w:p>
      <w:pPr>
        <w:widowControl/>
        <w:spacing w:before="165" w:after="150" w:line="17" w:lineRule="atLeast"/>
        <w:rPr>
          <w:rFonts w:ascii="宋体" w:hAnsi="宋体" w:eastAsia="宋体" w:cs="宋体"/>
          <w:color w:val="auto"/>
          <w:sz w:val="48"/>
          <w:szCs w:val="48"/>
          <w:highlight w:val="none"/>
        </w:rPr>
      </w:pPr>
      <w:r>
        <w:rPr>
          <w:rFonts w:hint="eastAsia" w:ascii="宋体" w:hAnsi="宋体" w:eastAsia="宋体" w:cs="宋体"/>
          <w:color w:val="auto"/>
          <w:szCs w:val="21"/>
          <w:highlight w:val="none"/>
        </w:rPr>
        <w:t xml:space="preserve"> </w:t>
      </w:r>
    </w:p>
    <w:p>
      <w:pPr>
        <w:pStyle w:val="14"/>
        <w:widowControl/>
        <w:spacing w:before="75" w:beforeAutospacing="0" w:after="75" w:afterAutospacing="0"/>
        <w:ind w:firstLine="420"/>
        <w:jc w:val="center"/>
        <w:rPr>
          <w:rFonts w:ascii="宋体" w:hAnsi="宋体" w:eastAsia="宋体" w:cs="宋体"/>
          <w:color w:val="auto"/>
          <w:highlight w:val="none"/>
        </w:rPr>
      </w:pPr>
      <w:r>
        <w:rPr>
          <w:rFonts w:hint="eastAsia" w:ascii="宋体" w:hAnsi="宋体" w:eastAsia="宋体" w:cs="宋体"/>
          <w:color w:val="auto"/>
          <w:highlight w:val="none"/>
        </w:rPr>
        <w:t>中小企业声明函（货物）</w:t>
      </w: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1"/>
          <w:szCs w:val="21"/>
          <w:highlight w:val="none"/>
        </w:rPr>
        <w:t xml:space="preserve">  本公司（联合体）郑重声明，根据《政府采购促进中小企业发展管理办法》（财库﹝2020﹞46 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采购活动，提供的货物全部由符合政策要求的中小企业制造。相关企业（含联合体中的中小企业、签订分包意向协议的中小企业）的具体情况如下：</w:t>
      </w: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 </w:t>
      </w:r>
      <w:r>
        <w:rPr>
          <w:rFonts w:hint="eastAsia" w:ascii="宋体" w:hAnsi="宋体" w:eastAsia="宋体" w:cs="宋体"/>
          <w:color w:val="auto"/>
          <w:sz w:val="21"/>
          <w:szCs w:val="21"/>
          <w:highlight w:val="none"/>
          <w:u w:val="single"/>
        </w:rPr>
        <w:t xml:space="preserve"> （标的名称） </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（采购文件中明确的所属行业）行业</w:t>
      </w:r>
      <w:r>
        <w:rPr>
          <w:rFonts w:hint="eastAsia" w:ascii="宋体" w:hAnsi="宋体" w:eastAsia="宋体" w:cs="宋体"/>
          <w:color w:val="auto"/>
          <w:sz w:val="21"/>
          <w:szCs w:val="21"/>
          <w:highlight w:val="none"/>
        </w:rPr>
        <w:t>；制造商为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（中型企业、小型企业、微型企业）；</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2. </w:t>
      </w:r>
      <w:r>
        <w:rPr>
          <w:rFonts w:hint="eastAsia" w:ascii="宋体" w:hAnsi="宋体" w:eastAsia="宋体" w:cs="宋体"/>
          <w:color w:val="auto"/>
          <w:sz w:val="21"/>
          <w:szCs w:val="21"/>
          <w:highlight w:val="none"/>
          <w:u w:val="single"/>
        </w:rPr>
        <w:t xml:space="preserve"> （标的名称） </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 xml:space="preserve"> （采购文件中明确的所属行业 ）行业；</w:t>
      </w:r>
      <w:r>
        <w:rPr>
          <w:rFonts w:hint="eastAsia" w:ascii="宋体" w:hAnsi="宋体" w:eastAsia="宋体" w:cs="宋体"/>
          <w:color w:val="auto"/>
          <w:sz w:val="21"/>
          <w:szCs w:val="21"/>
          <w:highlight w:val="none"/>
        </w:rPr>
        <w:t>制造商为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（中型企业、小型企业、微型企业）；</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pStyle w:val="14"/>
        <w:widowControl/>
        <w:spacing w:before="75" w:beforeAutospacing="0" w:after="75" w:afterAutospacing="0"/>
        <w:rPr>
          <w:rFonts w:ascii="宋体" w:hAnsi="宋体" w:eastAsia="宋体" w:cs="宋体"/>
          <w:color w:val="auto"/>
          <w:sz w:val="21"/>
          <w:szCs w:val="21"/>
          <w:highlight w:val="none"/>
        </w:rPr>
      </w:pP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以上企业，不属于大企业的分支机构，不存在控股股东为大企业的情形，也不存在与大企业的负责人为同一人的情形。</w:t>
      </w:r>
    </w:p>
    <w:p>
      <w:pPr>
        <w:pStyle w:val="14"/>
        <w:widowControl/>
        <w:spacing w:before="75" w:beforeAutospacing="0" w:after="75" w:afterAutospacing="0"/>
        <w:rPr>
          <w:rFonts w:ascii="宋体" w:hAnsi="宋体" w:eastAsia="宋体" w:cs="宋体"/>
          <w:color w:val="auto"/>
          <w:sz w:val="21"/>
          <w:szCs w:val="21"/>
          <w:highlight w:val="none"/>
        </w:rPr>
      </w:pP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本企业对上述声明内容的真实性负责。如有虚假，将依法承担相应责任。</w:t>
      </w:r>
    </w:p>
    <w:p>
      <w:pPr>
        <w:pStyle w:val="14"/>
        <w:widowControl/>
        <w:spacing w:before="75" w:beforeAutospacing="0" w:after="75" w:afterAutospacing="0"/>
        <w:rPr>
          <w:rFonts w:ascii="宋体" w:hAnsi="宋体" w:eastAsia="宋体" w:cs="宋体"/>
          <w:color w:val="auto"/>
          <w:sz w:val="21"/>
          <w:szCs w:val="21"/>
          <w:highlight w:val="none"/>
        </w:rPr>
      </w:pP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企业名称（盖章）：        </w:t>
      </w: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p>
    <w:p>
      <w:pPr>
        <w:pStyle w:val="14"/>
        <w:widowControl/>
        <w:spacing w:before="75" w:beforeAutospacing="0" w:after="75" w:afterAutospacing="0"/>
        <w:rPr>
          <w:rFonts w:ascii="宋体" w:hAnsi="宋体" w:eastAsia="宋体" w:cs="宋体"/>
          <w:color w:val="auto"/>
          <w:sz w:val="21"/>
          <w:szCs w:val="21"/>
          <w:highlight w:val="none"/>
        </w:rPr>
      </w:pP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1从业人员、营业收入、资产总额填报上一年度数据，无上一年度数据的新成立企业可不填报。</w:t>
      </w:r>
    </w:p>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br w:type="page"/>
      </w:r>
    </w:p>
    <w:p>
      <w:pPr>
        <w:pStyle w:val="14"/>
        <w:widowControl/>
        <w:spacing w:before="75" w:beforeAutospacing="0" w:after="75" w:afterAutospacing="0"/>
        <w:jc w:val="center"/>
        <w:rPr>
          <w:rFonts w:ascii="宋体" w:hAnsi="宋体" w:eastAsia="宋体" w:cs="宋体"/>
          <w:color w:val="auto"/>
          <w:highlight w:val="none"/>
        </w:rPr>
      </w:pPr>
      <w:r>
        <w:rPr>
          <w:rFonts w:hint="eastAsia" w:ascii="宋体" w:hAnsi="宋体" w:eastAsia="宋体" w:cs="宋体"/>
          <w:color w:val="auto"/>
          <w:highlight w:val="none"/>
        </w:rPr>
        <w:t>中小企业声明函（工程、服务）</w:t>
      </w: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本公司（联合体）郑重声明，根据《政府采购促进中小企业发展管理办法》（财库﹝2020﹞46 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 </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；承建（承接）企业为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（中型企业、小型企业、微型企业）；</w:t>
      </w:r>
    </w:p>
    <w:p>
      <w:pPr>
        <w:pStyle w:val="14"/>
        <w:widowControl/>
        <w:spacing w:beforeAutospacing="0" w:after="150" w:afterAutospacing="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2. </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承建（承接）企业为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（中型企业、小型企业、微型企业）；</w:t>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以上企业，不属于大企业的分支机构，不存在控股股东为大企业的情形，也不存在与大企业的负责人为同一人的情形。</w:t>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本企业对上述声明内容的真实性负责。如有虚假，将依法承担相应责任。</w:t>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企业名称（盖章）：</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1从业人员、营业收入、资产总额填报上一年度数据，无上一年度数据的新成立企业可不填报。</w:t>
      </w:r>
    </w:p>
    <w:p>
      <w:pPr>
        <w:widowControl/>
        <w:spacing w:before="165" w:after="150" w:line="17" w:lineRule="atLeast"/>
        <w:rPr>
          <w:rFonts w:ascii="宋体" w:hAnsi="宋体" w:eastAsia="宋体" w:cs="宋体"/>
          <w:color w:val="auto"/>
          <w:sz w:val="48"/>
          <w:szCs w:val="48"/>
          <w:highlight w:val="none"/>
        </w:rPr>
      </w:pPr>
      <w:r>
        <w:rPr>
          <w:rFonts w:hint="eastAsia" w:ascii="宋体" w:hAnsi="宋体" w:eastAsia="宋体" w:cs="宋体"/>
          <w:color w:val="auto"/>
          <w:szCs w:val="21"/>
          <w:highlight w:val="non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highlight w:val="none"/>
        </w:rPr>
        <w:br w:type="page"/>
      </w:r>
    </w:p>
    <w:p>
      <w:pPr>
        <w:pStyle w:val="14"/>
        <w:widowControl/>
        <w:spacing w:beforeAutospacing="0" w:after="150" w:afterAutospacing="0"/>
        <w:ind w:firstLine="420"/>
        <w:rPr>
          <w:rFonts w:ascii="宋体" w:hAnsi="宋体" w:eastAsia="宋体" w:cs="宋体"/>
          <w:color w:val="auto"/>
          <w:highlight w:val="none"/>
        </w:rPr>
      </w:pP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附：</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21"/>
          <w:szCs w:val="21"/>
          <w:highlight w:val="none"/>
        </w:rPr>
        <w:t>残疾人福利性单位声明函</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21"/>
          <w:szCs w:val="21"/>
          <w:highlight w:val="none"/>
        </w:rPr>
        <w:t>（专门面向中小企业或小型、微型企业适用，若有）</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项目采购活动：</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）提供本投标人制造的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货物，或提供其他残疾人福利性单位制造的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货物（不包括使用非残疾人福利性单位注册商标的货物）。（说明：只有部分货物由残疾人福利企业制造的，在该货物后标</w:t>
      </w:r>
      <w:r>
        <w:rPr>
          <w:rFonts w:hint="eastAsia" w:ascii="宋体" w:hAnsi="宋体" w:eastAsia="宋体" w:cs="宋体"/>
          <w:color w:val="auto"/>
          <w:sz w:val="19"/>
          <w:szCs w:val="19"/>
          <w:highlight w:val="none"/>
          <w:shd w:val="clear" w:color="auto" w:fill="FFFFFF"/>
        </w:rPr>
        <w:t>★</w:t>
      </w:r>
      <w:r>
        <w:rPr>
          <w:rFonts w:hint="eastAsia" w:ascii="宋体" w:hAnsi="宋体" w:eastAsia="宋体" w:cs="宋体"/>
          <w:color w:val="auto"/>
          <w:sz w:val="21"/>
          <w:szCs w:val="21"/>
          <w:highlight w:val="none"/>
        </w:rPr>
        <w:t>）</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）由本投标人承建的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工程</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）由本投标人承接的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服务；</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本投标人对上述声明的真实性负责。如有虚假，将依法承担相应责任。</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备注：</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1、请投标人按照实际情况编制填写本声明函，并在相应的（）中打“√”。</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2、纸质投标文件正本中的本声明函（若有）应为原件。</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3、若《残疾人福利性单位声明函》内容不真实，</w:t>
      </w:r>
      <w:r>
        <w:rPr>
          <w:rStyle w:val="20"/>
          <w:rFonts w:hint="eastAsia" w:ascii="宋体" w:hAnsi="宋体" w:eastAsia="宋体" w:cs="宋体"/>
          <w:color w:val="auto"/>
          <w:sz w:val="21"/>
          <w:szCs w:val="21"/>
          <w:highlight w:val="none"/>
        </w:rPr>
        <w:t>视为提供虚假材料。</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ind w:firstLine="420"/>
        <w:rPr>
          <w:rFonts w:ascii="宋体" w:hAnsi="宋体" w:eastAsia="宋体" w:cs="宋体"/>
          <w:color w:val="auto"/>
          <w:highlight w:val="none"/>
        </w:rPr>
      </w:pP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二-12其他资格证明文件（若有）</w:t>
      </w:r>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3"/>
        <w:rPr>
          <w:rFonts w:ascii="宋体" w:hAnsi="宋体" w:eastAsia="宋体" w:cs="宋体"/>
          <w:color w:val="auto"/>
          <w:highlight w:val="none"/>
        </w:rPr>
      </w:pPr>
      <w:r>
        <w:rPr>
          <w:rFonts w:hint="eastAsia" w:ascii="宋体" w:hAnsi="宋体" w:eastAsia="宋体" w:cs="宋体"/>
          <w:color w:val="auto"/>
          <w:sz w:val="21"/>
          <w:szCs w:val="21"/>
          <w:highlight w:val="none"/>
        </w:rPr>
        <w:t>二</w:t>
      </w:r>
      <w:r>
        <w:rPr>
          <w:rStyle w:val="20"/>
          <w:rFonts w:hint="eastAsia" w:ascii="宋体" w:hAnsi="宋体" w:eastAsia="宋体" w:cs="宋体"/>
          <w:color w:val="auto"/>
          <w:sz w:val="21"/>
          <w:szCs w:val="21"/>
          <w:highlight w:val="none"/>
        </w:rPr>
        <w:t>-12-①具备履行合同所必需设备和专业技术能力专项证明材料（若有）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现附上我方具备履行合同所必需的设备和专业技术能力的专项证明材料复印件（具体附后），上述证明材料真实有效，否则我方负全部责任。</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1、招标文件要求投标人提供“具备履行合同所必需的设备和专业技术能力专项证明材料”的，投标人应按照招标文件规定在此项下提供相应证明材料复印件。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2、投标人提供的相应证明材料复印件均应符合：内容完整、清晰、整洁，并由投标人加盖其单位公章。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3"/>
        <w:rPr>
          <w:rFonts w:ascii="宋体" w:hAnsi="宋体" w:eastAsia="宋体" w:cs="宋体"/>
          <w:color w:val="auto"/>
          <w:highlight w:val="none"/>
        </w:rPr>
      </w:pPr>
      <w:r>
        <w:rPr>
          <w:rStyle w:val="20"/>
          <w:rFonts w:hint="eastAsia" w:ascii="宋体" w:hAnsi="宋体" w:eastAsia="宋体" w:cs="宋体"/>
          <w:color w:val="auto"/>
          <w:sz w:val="21"/>
          <w:szCs w:val="21"/>
          <w:highlight w:val="none"/>
        </w:rPr>
        <w:t>二-12-②招标文件规定的其他资格证明文件（若有）</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0"/>
        <w:rPr>
          <w:rFonts w:ascii="宋体" w:hAnsi="宋体" w:eastAsia="宋体" w:cs="宋体"/>
          <w:color w:val="auto"/>
          <w:highlight w:val="none"/>
        </w:rPr>
      </w:pPr>
      <w:bookmarkStart w:id="33" w:name="_Toc2819"/>
      <w:r>
        <w:rPr>
          <w:rFonts w:hint="eastAsia" w:ascii="宋体" w:hAnsi="宋体" w:eastAsia="宋体" w:cs="宋体"/>
          <w:color w:val="auto"/>
          <w:sz w:val="21"/>
          <w:szCs w:val="21"/>
          <w:highlight w:val="none"/>
        </w:rPr>
        <w:t>编制说明</w:t>
      </w:r>
      <w:bookmarkEnd w:id="33"/>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除招标文件另有规定外，招标文件要求提交的除前述资格证明文件外的其他资格证明文件（若有）加盖投标人的单位公章后应在此项下提交。</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34" w:name="_Toc22648"/>
      <w:r>
        <w:rPr>
          <w:rFonts w:hint="eastAsia" w:ascii="宋体" w:hAnsi="宋体" w:eastAsia="宋体" w:cs="宋体"/>
          <w:color w:val="auto"/>
          <w:sz w:val="21"/>
          <w:szCs w:val="21"/>
          <w:highlight w:val="none"/>
        </w:rPr>
        <w:t>三</w:t>
      </w:r>
      <w:r>
        <w:rPr>
          <w:rStyle w:val="20"/>
          <w:rFonts w:hint="eastAsia" w:ascii="宋体" w:hAnsi="宋体" w:eastAsia="宋体" w:cs="宋体"/>
          <w:color w:val="auto"/>
          <w:sz w:val="21"/>
          <w:szCs w:val="21"/>
          <w:highlight w:val="none"/>
        </w:rPr>
        <w:t>、投标保证金</w:t>
      </w:r>
      <w:bookmarkEnd w:id="34"/>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0"/>
        <w:rPr>
          <w:rFonts w:ascii="宋体" w:hAnsi="宋体" w:eastAsia="宋体" w:cs="宋体"/>
          <w:color w:val="auto"/>
          <w:highlight w:val="none"/>
        </w:rPr>
      </w:pPr>
      <w:bookmarkStart w:id="35" w:name="_Toc5757"/>
      <w:r>
        <w:rPr>
          <w:rFonts w:hint="eastAsia" w:ascii="宋体" w:hAnsi="宋体" w:eastAsia="宋体" w:cs="宋体"/>
          <w:color w:val="auto"/>
          <w:sz w:val="21"/>
          <w:szCs w:val="21"/>
          <w:highlight w:val="none"/>
        </w:rPr>
        <w:t>编制说明</w:t>
      </w:r>
      <w:bookmarkEnd w:id="35"/>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1、在此项下提交的</w:t>
      </w:r>
      <w:r>
        <w:rPr>
          <w:rStyle w:val="20"/>
          <w:rFonts w:hint="eastAsia" w:ascii="宋体" w:hAnsi="宋体" w:eastAsia="宋体" w:cs="宋体"/>
          <w:color w:val="auto"/>
          <w:sz w:val="21"/>
          <w:szCs w:val="21"/>
          <w:highlight w:val="none"/>
        </w:rPr>
        <w:t>“投标保证金”</w:t>
      </w:r>
      <w:r>
        <w:rPr>
          <w:rFonts w:hint="eastAsia" w:ascii="宋体" w:hAnsi="宋体" w:eastAsia="宋体" w:cs="宋体"/>
          <w:color w:val="auto"/>
          <w:sz w:val="21"/>
          <w:szCs w:val="21"/>
          <w:highlight w:val="none"/>
        </w:rPr>
        <w:t>材料可使用转账凭证复印件或从福建省政府采购网上公开信息系统中下载的有关原始页面的打印件。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2、投标保证金是否已提交的认定按照招标文件第三章规定执行。</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jc w:val="center"/>
        <w:outlineLvl w:val="0"/>
        <w:rPr>
          <w:rFonts w:ascii="宋体" w:hAnsi="宋体" w:eastAsia="宋体" w:cs="宋体"/>
          <w:color w:val="auto"/>
          <w:highlight w:val="none"/>
        </w:rPr>
      </w:pPr>
      <w:bookmarkStart w:id="36" w:name="_Toc7663"/>
      <w:r>
        <w:rPr>
          <w:rStyle w:val="20"/>
          <w:rFonts w:hint="eastAsia" w:ascii="宋体" w:hAnsi="宋体" w:eastAsia="宋体" w:cs="宋体"/>
          <w:color w:val="auto"/>
          <w:sz w:val="28"/>
          <w:szCs w:val="28"/>
          <w:highlight w:val="none"/>
        </w:rPr>
        <w:t>封面格式</w:t>
      </w:r>
      <w:bookmarkEnd w:id="36"/>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48"/>
          <w:szCs w:val="48"/>
          <w:highlight w:val="none"/>
        </w:rPr>
        <w:t>福建省政府采购投标文件</w:t>
      </w:r>
    </w:p>
    <w:p>
      <w:pPr>
        <w:pStyle w:val="14"/>
        <w:widowControl/>
        <w:spacing w:beforeAutospacing="0" w:after="150" w:afterAutospacing="0"/>
        <w:jc w:val="center"/>
        <w:outlineLvl w:val="0"/>
        <w:rPr>
          <w:rFonts w:ascii="宋体" w:hAnsi="宋体" w:eastAsia="宋体" w:cs="宋体"/>
          <w:color w:val="auto"/>
          <w:highlight w:val="none"/>
        </w:rPr>
      </w:pPr>
      <w:bookmarkStart w:id="37" w:name="_Toc25865"/>
      <w:r>
        <w:rPr>
          <w:rStyle w:val="20"/>
          <w:rFonts w:hint="eastAsia" w:ascii="宋体" w:hAnsi="宋体" w:eastAsia="宋体" w:cs="宋体"/>
          <w:color w:val="auto"/>
          <w:sz w:val="48"/>
          <w:szCs w:val="48"/>
          <w:highlight w:val="none"/>
        </w:rPr>
        <w:t>（报价部分）</w:t>
      </w:r>
      <w:bookmarkEnd w:id="37"/>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36"/>
          <w:szCs w:val="36"/>
          <w:highlight w:val="none"/>
          <w:u w:val="single"/>
        </w:rPr>
        <w:t>（填写正本或副本）</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项目名称：</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备案编号：</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招标编号：</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所投合同包：</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31"/>
          <w:szCs w:val="31"/>
          <w:highlight w:val="none"/>
        </w:rPr>
        <w:t>投标人：</w:t>
      </w:r>
      <w:r>
        <w:rPr>
          <w:rStyle w:val="20"/>
          <w:rFonts w:hint="eastAsia" w:ascii="宋体" w:hAnsi="宋体" w:eastAsia="宋体" w:cs="宋体"/>
          <w:color w:val="auto"/>
          <w:sz w:val="31"/>
          <w:szCs w:val="31"/>
          <w:highlight w:val="none"/>
          <w:u w:val="single"/>
        </w:rPr>
        <w:t>（填写“全称”）</w:t>
      </w:r>
    </w:p>
    <w:p>
      <w:pPr>
        <w:pStyle w:val="14"/>
        <w:widowControl/>
        <w:spacing w:beforeAutospacing="0" w:after="150" w:afterAutospacing="0"/>
        <w:jc w:val="center"/>
        <w:rPr>
          <w:rFonts w:ascii="宋体" w:hAnsi="宋体" w:eastAsia="宋体" w:cs="宋体"/>
          <w:color w:val="auto"/>
          <w:sz w:val="21"/>
          <w:szCs w:val="21"/>
          <w:highlight w:val="none"/>
        </w:rPr>
      </w:pPr>
      <w:r>
        <w:rPr>
          <w:rStyle w:val="20"/>
          <w:rFonts w:hint="eastAsia" w:ascii="宋体" w:hAnsi="宋体" w:eastAsia="宋体" w:cs="宋体"/>
          <w:color w:val="auto"/>
          <w:sz w:val="31"/>
          <w:szCs w:val="31"/>
          <w:highlight w:val="none"/>
          <w:u w:val="single"/>
        </w:rPr>
        <w:t>（由投标人填写）</w:t>
      </w:r>
      <w:r>
        <w:rPr>
          <w:rStyle w:val="20"/>
          <w:rFonts w:hint="eastAsia" w:ascii="宋体" w:hAnsi="宋体" w:eastAsia="宋体" w:cs="宋体"/>
          <w:color w:val="auto"/>
          <w:sz w:val="31"/>
          <w:szCs w:val="31"/>
          <w:highlight w:val="none"/>
        </w:rPr>
        <w:t>年</w:t>
      </w:r>
      <w:r>
        <w:rPr>
          <w:rStyle w:val="20"/>
          <w:rFonts w:hint="eastAsia" w:ascii="宋体" w:hAnsi="宋体" w:eastAsia="宋体" w:cs="宋体"/>
          <w:color w:val="auto"/>
          <w:sz w:val="31"/>
          <w:szCs w:val="31"/>
          <w:highlight w:val="none"/>
          <w:u w:val="single"/>
        </w:rPr>
        <w:t>（由投标人填写）</w:t>
      </w:r>
      <w:r>
        <w:rPr>
          <w:rStyle w:val="20"/>
          <w:rFonts w:hint="eastAsia" w:ascii="宋体" w:hAnsi="宋体" w:eastAsia="宋体" w:cs="宋体"/>
          <w:color w:val="auto"/>
          <w:sz w:val="31"/>
          <w:szCs w:val="31"/>
          <w:highlight w:val="none"/>
        </w:rPr>
        <w:t>月</w:t>
      </w:r>
    </w:p>
    <w:p>
      <w:pPr>
        <w:pStyle w:val="14"/>
        <w:widowControl/>
        <w:spacing w:beforeAutospacing="0" w:after="150" w:afterAutospacing="0"/>
        <w:rPr>
          <w:rStyle w:val="20"/>
          <w:rFonts w:ascii="宋体" w:hAnsi="宋体" w:eastAsia="宋体" w:cs="宋体"/>
          <w:color w:val="auto"/>
          <w:sz w:val="28"/>
          <w:szCs w:val="28"/>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38" w:name="_Toc20888"/>
      <w:r>
        <w:rPr>
          <w:rStyle w:val="20"/>
          <w:rFonts w:hint="eastAsia" w:ascii="宋体" w:hAnsi="宋体" w:eastAsia="宋体" w:cs="宋体"/>
          <w:color w:val="auto"/>
          <w:sz w:val="28"/>
          <w:szCs w:val="28"/>
          <w:highlight w:val="none"/>
        </w:rPr>
        <w:t>索引</w:t>
      </w:r>
      <w:bookmarkEnd w:id="38"/>
    </w:p>
    <w:p>
      <w:pPr>
        <w:pStyle w:val="14"/>
        <w:widowControl/>
        <w:spacing w:beforeAutospacing="0" w:after="150" w:afterAutospacing="0"/>
        <w:outlineLvl w:val="0"/>
        <w:rPr>
          <w:rFonts w:ascii="宋体" w:hAnsi="宋体" w:eastAsia="宋体" w:cs="宋体"/>
          <w:color w:val="auto"/>
          <w:highlight w:val="none"/>
        </w:rPr>
      </w:pPr>
      <w:bookmarkStart w:id="39" w:name="_Toc30659"/>
      <w:r>
        <w:rPr>
          <w:rFonts w:hint="eastAsia" w:ascii="宋体" w:hAnsi="宋体" w:eastAsia="宋体" w:cs="宋体"/>
          <w:color w:val="auto"/>
          <w:sz w:val="28"/>
          <w:szCs w:val="28"/>
          <w:highlight w:val="none"/>
        </w:rPr>
        <w:t>一、开标一览表</w:t>
      </w:r>
      <w:bookmarkEnd w:id="39"/>
    </w:p>
    <w:p>
      <w:pPr>
        <w:pStyle w:val="14"/>
        <w:widowControl/>
        <w:spacing w:beforeAutospacing="0" w:after="150" w:afterAutospacing="0"/>
        <w:outlineLvl w:val="0"/>
        <w:rPr>
          <w:rFonts w:ascii="宋体" w:hAnsi="宋体" w:eastAsia="宋体" w:cs="宋体"/>
          <w:color w:val="auto"/>
          <w:highlight w:val="none"/>
        </w:rPr>
      </w:pPr>
      <w:bookmarkStart w:id="40" w:name="_Toc28013"/>
      <w:r>
        <w:rPr>
          <w:rFonts w:hint="eastAsia" w:ascii="宋体" w:hAnsi="宋体" w:eastAsia="宋体" w:cs="宋体"/>
          <w:color w:val="auto"/>
          <w:sz w:val="28"/>
          <w:szCs w:val="28"/>
          <w:highlight w:val="none"/>
        </w:rPr>
        <w:t>二、投标分项报价表</w:t>
      </w:r>
      <w:bookmarkEnd w:id="40"/>
    </w:p>
    <w:p>
      <w:pPr>
        <w:pStyle w:val="14"/>
        <w:widowControl/>
        <w:spacing w:beforeAutospacing="0" w:after="150" w:afterAutospacing="0"/>
        <w:outlineLvl w:val="0"/>
        <w:rPr>
          <w:rFonts w:ascii="宋体" w:hAnsi="宋体" w:eastAsia="宋体" w:cs="宋体"/>
          <w:color w:val="auto"/>
          <w:highlight w:val="none"/>
        </w:rPr>
      </w:pPr>
      <w:bookmarkStart w:id="41" w:name="_Toc4319"/>
      <w:r>
        <w:rPr>
          <w:rFonts w:hint="eastAsia" w:ascii="宋体" w:hAnsi="宋体" w:eastAsia="宋体" w:cs="宋体"/>
          <w:color w:val="auto"/>
          <w:sz w:val="28"/>
          <w:szCs w:val="28"/>
          <w:highlight w:val="none"/>
        </w:rPr>
        <w:t>三、招标文件规定的价格扣除证明材料（若有）</w:t>
      </w:r>
      <w:bookmarkEnd w:id="41"/>
    </w:p>
    <w:p>
      <w:pPr>
        <w:pStyle w:val="14"/>
        <w:widowControl/>
        <w:spacing w:beforeAutospacing="0" w:after="150" w:afterAutospacing="0"/>
        <w:outlineLvl w:val="0"/>
        <w:rPr>
          <w:rFonts w:ascii="宋体" w:hAnsi="宋体" w:eastAsia="宋体" w:cs="宋体"/>
          <w:color w:val="auto"/>
          <w:highlight w:val="none"/>
        </w:rPr>
      </w:pPr>
      <w:bookmarkStart w:id="42" w:name="_Toc8809"/>
      <w:r>
        <w:rPr>
          <w:rFonts w:hint="eastAsia" w:ascii="宋体" w:hAnsi="宋体" w:eastAsia="宋体" w:cs="宋体"/>
          <w:color w:val="auto"/>
          <w:sz w:val="28"/>
          <w:szCs w:val="28"/>
          <w:highlight w:val="none"/>
        </w:rPr>
        <w:t>四、招标文件规定的加分证明材料（若有）</w:t>
      </w:r>
      <w:bookmarkEnd w:id="42"/>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sectPr>
          <w:pgSz w:w="11906" w:h="16838"/>
          <w:pgMar w:top="1440" w:right="1800" w:bottom="1440" w:left="1800" w:header="851" w:footer="992" w:gutter="0"/>
          <w:cols w:space="425" w:num="1"/>
          <w:docGrid w:type="lines" w:linePitch="312" w:charSpace="0"/>
        </w:sectPr>
      </w:pPr>
    </w:p>
    <w:p>
      <w:pPr>
        <w:pStyle w:val="14"/>
        <w:widowControl/>
        <w:spacing w:beforeAutospacing="0" w:after="150" w:afterAutospacing="0"/>
        <w:jc w:val="center"/>
        <w:outlineLvl w:val="0"/>
        <w:rPr>
          <w:rFonts w:ascii="宋体" w:hAnsi="宋体" w:eastAsia="宋体" w:cs="宋体"/>
          <w:color w:val="auto"/>
          <w:highlight w:val="none"/>
        </w:rPr>
      </w:pPr>
      <w:bookmarkStart w:id="43" w:name="_Toc7839"/>
      <w:r>
        <w:rPr>
          <w:rStyle w:val="20"/>
          <w:rFonts w:hint="eastAsia" w:ascii="宋体" w:hAnsi="宋体" w:eastAsia="宋体" w:cs="宋体"/>
          <w:color w:val="auto"/>
          <w:sz w:val="21"/>
          <w:szCs w:val="21"/>
          <w:highlight w:val="none"/>
        </w:rPr>
        <w:t>一、开标一览表</w:t>
      </w:r>
      <w:bookmarkEnd w:id="43"/>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jc w:val="right"/>
        <w:rPr>
          <w:rFonts w:ascii="宋体" w:hAnsi="宋体" w:eastAsia="宋体" w:cs="宋体"/>
          <w:color w:val="auto"/>
          <w:highlight w:val="none"/>
        </w:rPr>
      </w:pPr>
      <w:r>
        <w:rPr>
          <w:rFonts w:hint="eastAsia" w:ascii="宋体" w:hAnsi="宋体" w:eastAsia="宋体" w:cs="宋体"/>
          <w:color w:val="auto"/>
          <w:sz w:val="21"/>
          <w:szCs w:val="21"/>
          <w:highlight w:val="none"/>
        </w:rPr>
        <w:t>货币及单位：人民币元</w:t>
      </w:r>
    </w:p>
    <w:tbl>
      <w:tblPr>
        <w:tblStyle w:val="18"/>
        <w:tblW w:w="86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76"/>
        <w:gridCol w:w="4710"/>
        <w:gridCol w:w="1100"/>
        <w:gridCol w:w="17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50" w:hRule="atLeast"/>
        </w:trPr>
        <w:tc>
          <w:tcPr>
            <w:tcW w:w="1076"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471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投标报价</w:t>
            </w:r>
          </w:p>
        </w:tc>
        <w:tc>
          <w:tcPr>
            <w:tcW w:w="110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投标</w:t>
            </w:r>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保证金</w:t>
            </w:r>
          </w:p>
        </w:tc>
        <w:tc>
          <w:tcPr>
            <w:tcW w:w="173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72" w:hRule="atLeast"/>
        </w:trPr>
        <w:tc>
          <w:tcPr>
            <w:tcW w:w="1076"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471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投标总价（大写金额）：</w:t>
            </w:r>
            <w:r>
              <w:rPr>
                <w:rFonts w:hint="eastAsia" w:ascii="宋体" w:hAnsi="宋体" w:eastAsia="宋体" w:cs="宋体"/>
                <w:color w:val="auto"/>
                <w:sz w:val="21"/>
                <w:szCs w:val="21"/>
                <w:highlight w:val="none"/>
                <w:u w:val="single"/>
              </w:rPr>
              <w:t xml:space="preserve">         </w:t>
            </w:r>
          </w:p>
        </w:tc>
        <w:tc>
          <w:tcPr>
            <w:tcW w:w="110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73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a.投标报价的明细：详见《投标分项报价表》。</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97" w:hRule="atLeast"/>
        </w:trPr>
        <w:tc>
          <w:tcPr>
            <w:tcW w:w="1076"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471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投标总价（大写金额）：</w:t>
            </w:r>
            <w:r>
              <w:rPr>
                <w:rFonts w:hint="eastAsia" w:ascii="宋体" w:hAnsi="宋体" w:eastAsia="宋体" w:cs="宋体"/>
                <w:color w:val="auto"/>
                <w:sz w:val="21"/>
                <w:szCs w:val="21"/>
                <w:highlight w:val="none"/>
                <w:u w:val="single"/>
              </w:rPr>
              <w:t xml:space="preserve">          </w:t>
            </w:r>
          </w:p>
        </w:tc>
        <w:tc>
          <w:tcPr>
            <w:tcW w:w="110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73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highlight w:val="none"/>
              </w:rPr>
            </w:pPr>
          </w:p>
        </w:tc>
      </w:tr>
    </w:tbl>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1、本表应按照下列规定填写：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1.1投标人应按照本表格式填写所投的合同包的“投标报价”。</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1.2本表中列示的“合同包”应与《投标分项报价表》中列示的“合同包”保持一致，即：若本表中列示的“合同包”为“1”时，《投标分项报价表》中列示的“合同包”亦应为“1”，以此类推。</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1.3“大写金额”指“投标报价”应用“壹、贰、叁、肆、伍、陆、柒、捌、玖、拾、佰、仟、万、亿、元、角、分、零”等进行填写。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2、纸质投标文件正本中的本表应为原件。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44" w:name="_Toc27183"/>
      <w:r>
        <w:rPr>
          <w:rStyle w:val="20"/>
          <w:rFonts w:hint="eastAsia" w:ascii="宋体" w:hAnsi="宋体" w:eastAsia="宋体" w:cs="宋体"/>
          <w:color w:val="auto"/>
          <w:sz w:val="21"/>
          <w:szCs w:val="21"/>
          <w:highlight w:val="none"/>
        </w:rPr>
        <w:t>二、投标分项报价表</w:t>
      </w:r>
      <w:bookmarkEnd w:id="44"/>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jc w:val="right"/>
        <w:rPr>
          <w:rFonts w:ascii="宋体" w:hAnsi="宋体" w:eastAsia="宋体" w:cs="宋体"/>
          <w:color w:val="auto"/>
          <w:highlight w:val="none"/>
        </w:rPr>
      </w:pPr>
      <w:r>
        <w:rPr>
          <w:rFonts w:hint="eastAsia" w:ascii="宋体" w:hAnsi="宋体" w:eastAsia="宋体" w:cs="宋体"/>
          <w:color w:val="auto"/>
          <w:sz w:val="21"/>
          <w:szCs w:val="21"/>
          <w:highlight w:val="none"/>
        </w:rPr>
        <w:t>货币及单位：人民币元</w:t>
      </w:r>
    </w:p>
    <w:tbl>
      <w:tblPr>
        <w:tblStyle w:val="18"/>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2"/>
        <w:gridCol w:w="958"/>
        <w:gridCol w:w="1556"/>
        <w:gridCol w:w="1272"/>
        <w:gridCol w:w="854"/>
        <w:gridCol w:w="989"/>
        <w:gridCol w:w="570"/>
        <w:gridCol w:w="1093"/>
        <w:gridCol w:w="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556"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投标标的</w:t>
            </w: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规格</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来源地</w:t>
            </w:r>
          </w:p>
        </w:tc>
        <w:tc>
          <w:tcPr>
            <w:tcW w:w="989"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09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806"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55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85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98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09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80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highlight w:val="none"/>
              </w:rPr>
            </w:pP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55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85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98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09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80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55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85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98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09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80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r>
    </w:tbl>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1、本表应按照下列规定填写：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1.2“投标标的”为货物的：</w:t>
      </w:r>
      <w:r>
        <w:rPr>
          <w:rStyle w:val="20"/>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项下应填写货物制造厂商赋予的品牌（属于节能、环保清单产品的货物，填写的品牌名称应与清单载明的品牌名称保持一致）及具体型号。</w:t>
      </w:r>
      <w:r>
        <w:rPr>
          <w:rStyle w:val="20"/>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应填写货物的原产地。</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1.3“投标标的”为服务的：</w:t>
      </w:r>
      <w:r>
        <w:rPr>
          <w:rStyle w:val="20"/>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项下应填写服务提供者提供的服务标准及品牌（若有）。</w:t>
      </w:r>
      <w:r>
        <w:rPr>
          <w:rStyle w:val="20"/>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应填写服务提供者的所在地。</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1.4同一合同包中，</w:t>
      </w:r>
      <w:r>
        <w:rPr>
          <w:rStyle w:val="20"/>
          <w:rFonts w:hint="eastAsia" w:ascii="宋体" w:hAnsi="宋体" w:eastAsia="宋体" w:cs="宋体"/>
          <w:color w:val="auto"/>
          <w:sz w:val="21"/>
          <w:szCs w:val="21"/>
          <w:highlight w:val="none"/>
        </w:rPr>
        <w:t>“单价（现场）”</w:t>
      </w:r>
      <w:r>
        <w:rPr>
          <w:rFonts w:hint="eastAsia" w:ascii="宋体" w:hAnsi="宋体" w:eastAsia="宋体" w:cs="宋体"/>
          <w:color w:val="auto"/>
          <w:sz w:val="21"/>
          <w:szCs w:val="21"/>
          <w:highlight w:val="none"/>
        </w:rPr>
        <w:t>×</w:t>
      </w:r>
      <w:r>
        <w:rPr>
          <w:rStyle w:val="20"/>
          <w:rFonts w:hint="eastAsia" w:ascii="宋体" w:hAnsi="宋体" w:eastAsia="宋体" w:cs="宋体"/>
          <w:color w:val="auto"/>
          <w:sz w:val="21"/>
          <w:szCs w:val="21"/>
          <w:highlight w:val="none"/>
        </w:rPr>
        <w:t>“数量”</w:t>
      </w:r>
      <w:r>
        <w:rPr>
          <w:rFonts w:hint="eastAsia" w:ascii="宋体" w:hAnsi="宋体" w:eastAsia="宋体" w:cs="宋体"/>
          <w:color w:val="auto"/>
          <w:sz w:val="21"/>
          <w:szCs w:val="21"/>
          <w:highlight w:val="none"/>
        </w:rPr>
        <w:t>=</w:t>
      </w:r>
      <w:r>
        <w:rPr>
          <w:rStyle w:val="20"/>
          <w:rFonts w:hint="eastAsia" w:ascii="宋体" w:hAnsi="宋体" w:eastAsia="宋体" w:cs="宋体"/>
          <w:color w:val="auto"/>
          <w:sz w:val="21"/>
          <w:szCs w:val="21"/>
          <w:highlight w:val="none"/>
        </w:rPr>
        <w:t>“总价（现场）”</w:t>
      </w:r>
      <w:r>
        <w:rPr>
          <w:rFonts w:hint="eastAsia" w:ascii="宋体" w:hAnsi="宋体" w:eastAsia="宋体" w:cs="宋体"/>
          <w:color w:val="auto"/>
          <w:sz w:val="21"/>
          <w:szCs w:val="21"/>
          <w:highlight w:val="none"/>
        </w:rPr>
        <w:t>，全部品目号</w:t>
      </w:r>
      <w:r>
        <w:rPr>
          <w:rStyle w:val="20"/>
          <w:rFonts w:hint="eastAsia" w:ascii="宋体" w:hAnsi="宋体" w:eastAsia="宋体" w:cs="宋体"/>
          <w:color w:val="auto"/>
          <w:sz w:val="21"/>
          <w:szCs w:val="21"/>
          <w:highlight w:val="none"/>
        </w:rPr>
        <w:t>“总价（现场）”</w:t>
      </w:r>
      <w:r>
        <w:rPr>
          <w:rFonts w:hint="eastAsia" w:ascii="宋体" w:hAnsi="宋体" w:eastAsia="宋体" w:cs="宋体"/>
          <w:color w:val="auto"/>
          <w:sz w:val="21"/>
          <w:szCs w:val="21"/>
          <w:highlight w:val="none"/>
        </w:rPr>
        <w:t>的合计金额应与《开标一览表》中相应合同包列示的</w:t>
      </w:r>
      <w:r>
        <w:rPr>
          <w:rStyle w:val="20"/>
          <w:rFonts w:hint="eastAsia" w:ascii="宋体" w:hAnsi="宋体" w:eastAsia="宋体" w:cs="宋体"/>
          <w:color w:val="auto"/>
          <w:sz w:val="21"/>
          <w:szCs w:val="21"/>
          <w:highlight w:val="none"/>
        </w:rPr>
        <w:t>“投标总价”</w:t>
      </w:r>
      <w:r>
        <w:rPr>
          <w:rFonts w:hint="eastAsia" w:ascii="宋体" w:hAnsi="宋体" w:eastAsia="宋体" w:cs="宋体"/>
          <w:color w:val="auto"/>
          <w:sz w:val="21"/>
          <w:szCs w:val="21"/>
          <w:highlight w:val="none"/>
        </w:rPr>
        <w:t>保持一致。</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1.5若招标文件要求投标人对“备品备件价格、专用工具价格、技术服务费、安装调试费、检验培训费、运输费、保险费、税收”等进行报价的，请在本表的</w:t>
      </w:r>
      <w:r>
        <w:rPr>
          <w:rStyle w:val="20"/>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2、纸质投标文件正本中的本表应为原件。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45" w:name="_Toc3801"/>
      <w:r>
        <w:rPr>
          <w:rStyle w:val="20"/>
          <w:rFonts w:hint="eastAsia" w:ascii="宋体" w:hAnsi="宋体" w:eastAsia="宋体" w:cs="宋体"/>
          <w:color w:val="auto"/>
          <w:sz w:val="21"/>
          <w:szCs w:val="21"/>
          <w:highlight w:val="none"/>
        </w:rPr>
        <w:t>三、招标文件规定的价格扣除证明材料（若有）</w:t>
      </w:r>
      <w:bookmarkEnd w:id="45"/>
    </w:p>
    <w:p>
      <w:pPr>
        <w:pStyle w:val="14"/>
        <w:widowControl/>
        <w:spacing w:beforeAutospacing="0" w:after="150" w:afterAutospacing="0"/>
        <w:jc w:val="center"/>
        <w:rPr>
          <w:rFonts w:ascii="宋体" w:hAnsi="宋体" w:eastAsia="宋体" w:cs="宋体"/>
          <w:color w:val="auto"/>
          <w:highlight w:val="none"/>
        </w:rPr>
      </w:pP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三-1优先类节能产品、环境标志产品价格扣除证明材料（若有）</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3"/>
        <w:rPr>
          <w:rFonts w:ascii="宋体" w:hAnsi="宋体" w:eastAsia="宋体" w:cs="宋体"/>
          <w:color w:val="auto"/>
          <w:highlight w:val="none"/>
        </w:rPr>
      </w:pPr>
      <w:r>
        <w:rPr>
          <w:rStyle w:val="20"/>
          <w:rFonts w:hint="eastAsia" w:ascii="宋体" w:hAnsi="宋体" w:eastAsia="宋体" w:cs="宋体"/>
          <w:color w:val="auto"/>
          <w:sz w:val="21"/>
          <w:szCs w:val="21"/>
          <w:highlight w:val="none"/>
        </w:rPr>
        <w:t>三-1-①优先类节能产品、环境标志产品统计表（价格扣除适用，若有）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jc w:val="right"/>
        <w:rPr>
          <w:rFonts w:ascii="宋体" w:hAnsi="宋体" w:eastAsia="宋体" w:cs="宋体"/>
          <w:color w:val="auto"/>
          <w:highlight w:val="none"/>
        </w:rPr>
      </w:pPr>
      <w:r>
        <w:rPr>
          <w:rFonts w:hint="eastAsia" w:ascii="宋体" w:hAnsi="宋体" w:eastAsia="宋体" w:cs="宋体"/>
          <w:color w:val="auto"/>
          <w:sz w:val="21"/>
          <w:szCs w:val="21"/>
          <w:highlight w:val="none"/>
        </w:rPr>
        <w:t>货币及单位：人民币元</w:t>
      </w:r>
    </w:p>
    <w:tbl>
      <w:tblPr>
        <w:tblStyle w:val="18"/>
        <w:tblW w:w="88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63"/>
        <w:gridCol w:w="1263"/>
        <w:gridCol w:w="1264"/>
        <w:gridCol w:w="1263"/>
        <w:gridCol w:w="1264"/>
        <w:gridCol w:w="1263"/>
        <w:gridCol w:w="12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3" w:hRule="atLeast"/>
          <w:jc w:val="center"/>
        </w:trPr>
        <w:tc>
          <w:tcPr>
            <w:tcW w:w="126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7597"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6" w:hRule="atLeast"/>
          <w:jc w:val="center"/>
        </w:trPr>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货物名称</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28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3" w:hRule="atLeast"/>
          <w:jc w:val="center"/>
        </w:trPr>
        <w:tc>
          <w:tcPr>
            <w:tcW w:w="1263"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3" w:hRule="atLeast"/>
          <w:jc w:val="center"/>
        </w:trPr>
        <w:tc>
          <w:tcPr>
            <w:tcW w:w="1263"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highlight w:val="none"/>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40" w:hRule="atLeast"/>
          <w:jc w:val="center"/>
        </w:trPr>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备注</w:t>
            </w:r>
          </w:p>
        </w:tc>
        <w:tc>
          <w:tcPr>
            <w:tcW w:w="7597" w:type="dxa"/>
            <w:gridSpan w:val="6"/>
            <w:tcBorders>
              <w:top w:val="nil"/>
              <w:left w:val="nil"/>
              <w:bottom w:val="nil"/>
              <w:right w:val="nil"/>
            </w:tcBorders>
            <w:shd w:val="clear" w:color="auto" w:fill="auto"/>
            <w:tcMar>
              <w:top w:w="0" w:type="dxa"/>
              <w:left w:w="105" w:type="dxa"/>
              <w:bottom w:w="0" w:type="dxa"/>
              <w:right w:w="105" w:type="dxa"/>
            </w:tcMar>
          </w:tcPr>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a.合同包内属于节能、环境标志产品的报价总金额：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b.合同包投标总价（报价总金额）：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c.“合同包内属于节能、环境标志产品的报价总金额”占“合同包投标总价（报价总金额）”的比例（以%列示）：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tc>
      </w:tr>
    </w:tbl>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1、对节能、环境标志产品计算价格扣除时，只依据投标文件</w:t>
      </w:r>
      <w:r>
        <w:rPr>
          <w:rStyle w:val="20"/>
          <w:rFonts w:hint="eastAsia" w:ascii="宋体" w:hAnsi="宋体" w:eastAsia="宋体" w:cs="宋体"/>
          <w:color w:val="auto"/>
          <w:sz w:val="21"/>
          <w:szCs w:val="21"/>
          <w:highlight w:val="none"/>
        </w:rPr>
        <w:t>“三-1-②优先类节能产品、环境标志产品证明材料（价格扣除适用，若有）”。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2、本表以合同包为单位，不同合同包请分别填写；同一合同包请按照其品目号顺序分别填写。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3、具体统计、计算：</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3.1若节能、环境标志产品仅是构成投标产品的部件、组件或零件，则该投标产品不享受鼓励优惠政策。同一品目中各认证证书不重复计算价格扣除。强制类节能产品不享受价格扣除。</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3.2计算结果若除不尽，可四舍五入保留到小数点后两位。</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3.3投标人应按照招标文件要求认真统计、计算，否则评标委员会不予认定。</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3.4若无节能、环境标志产品，不填写本表，否则，</w:t>
      </w:r>
      <w:r>
        <w:rPr>
          <w:rStyle w:val="20"/>
          <w:rFonts w:hint="eastAsia" w:ascii="宋体" w:hAnsi="宋体" w:eastAsia="宋体" w:cs="宋体"/>
          <w:color w:val="auto"/>
          <w:sz w:val="21"/>
          <w:szCs w:val="21"/>
          <w:highlight w:val="none"/>
        </w:rPr>
        <w:t>视为提供虚假材料。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4、纸质投标文件正本中的本表（若有）应为原件。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3"/>
        <w:rPr>
          <w:rFonts w:ascii="宋体" w:hAnsi="宋体" w:eastAsia="宋体" w:cs="宋体"/>
          <w:color w:val="auto"/>
          <w:highlight w:val="none"/>
        </w:rPr>
      </w:pPr>
      <w:r>
        <w:rPr>
          <w:rStyle w:val="20"/>
          <w:rFonts w:hint="eastAsia" w:ascii="宋体" w:hAnsi="宋体" w:eastAsia="宋体" w:cs="宋体"/>
          <w:color w:val="auto"/>
          <w:sz w:val="21"/>
          <w:szCs w:val="21"/>
          <w:highlight w:val="none"/>
        </w:rPr>
        <w:t>三-1-②优先类节能产品、环境标志产品证明材料（价格扣除适用，若有）</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0"/>
        <w:rPr>
          <w:rFonts w:ascii="宋体" w:hAnsi="宋体" w:eastAsia="宋体" w:cs="宋体"/>
          <w:color w:val="auto"/>
          <w:highlight w:val="none"/>
        </w:rPr>
      </w:pPr>
      <w:bookmarkStart w:id="46" w:name="_Toc29430"/>
      <w:r>
        <w:rPr>
          <w:rFonts w:hint="eastAsia" w:ascii="宋体" w:hAnsi="宋体" w:eastAsia="宋体" w:cs="宋体"/>
          <w:color w:val="auto"/>
          <w:sz w:val="21"/>
          <w:szCs w:val="21"/>
          <w:highlight w:val="none"/>
        </w:rPr>
        <w:t>编制说明</w:t>
      </w:r>
      <w:bookmarkEnd w:id="46"/>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除招标文件另有规定外，投标人应按照招标文件第二章（表1）第13项规定提供相应证明材料。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三-2小型、微型企业产品等价格扣除证明材料（若有）</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3"/>
        <w:rPr>
          <w:rFonts w:ascii="宋体" w:hAnsi="宋体" w:eastAsia="宋体" w:cs="宋体"/>
          <w:color w:val="auto"/>
          <w:highlight w:val="none"/>
        </w:rPr>
      </w:pPr>
      <w:r>
        <w:rPr>
          <w:rStyle w:val="20"/>
          <w:rFonts w:hint="eastAsia" w:ascii="宋体" w:hAnsi="宋体" w:eastAsia="宋体" w:cs="宋体"/>
          <w:color w:val="auto"/>
          <w:sz w:val="21"/>
          <w:szCs w:val="21"/>
          <w:highlight w:val="none"/>
        </w:rPr>
        <w:t>三-2-①小型、微型企业产品等统计表（价格扣除适用，若有）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jc w:val="right"/>
        <w:rPr>
          <w:rFonts w:ascii="宋体" w:hAnsi="宋体" w:eastAsia="宋体" w:cs="宋体"/>
          <w:color w:val="auto"/>
          <w:highlight w:val="none"/>
        </w:rPr>
      </w:pPr>
      <w:r>
        <w:rPr>
          <w:rFonts w:hint="eastAsia" w:ascii="宋体" w:hAnsi="宋体" w:eastAsia="宋体" w:cs="宋体"/>
          <w:color w:val="auto"/>
          <w:sz w:val="21"/>
          <w:szCs w:val="21"/>
          <w:highlight w:val="none"/>
        </w:rPr>
        <w:t>货币及单位：人民币元</w:t>
      </w:r>
    </w:p>
    <w:tbl>
      <w:tblPr>
        <w:tblStyle w:val="18"/>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采购标的</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备注</w:t>
            </w:r>
          </w:p>
        </w:tc>
        <w:tc>
          <w:tcPr>
            <w:tcW w:w="7305" w:type="dxa"/>
            <w:gridSpan w:val="7"/>
            <w:tcBorders>
              <w:top w:val="nil"/>
              <w:left w:val="nil"/>
              <w:bottom w:val="nil"/>
              <w:right w:val="nil"/>
            </w:tcBorders>
            <w:shd w:val="clear" w:color="auto" w:fill="auto"/>
            <w:tcMar>
              <w:top w:w="0" w:type="dxa"/>
              <w:left w:w="105" w:type="dxa"/>
              <w:bottom w:w="0" w:type="dxa"/>
              <w:right w:w="105" w:type="dxa"/>
            </w:tcMar>
          </w:tcPr>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合同包内属于小型、微型企业产品等的报价总金额：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tc>
      </w:tr>
    </w:tbl>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1、对小型、微型企业产品等计算价格扣除时，只依据投标文件</w:t>
      </w:r>
      <w:r>
        <w:rPr>
          <w:rStyle w:val="20"/>
          <w:rFonts w:hint="eastAsia" w:ascii="宋体" w:hAnsi="宋体" w:eastAsia="宋体" w:cs="宋体"/>
          <w:color w:val="auto"/>
          <w:sz w:val="21"/>
          <w:szCs w:val="21"/>
          <w:highlight w:val="none"/>
        </w:rPr>
        <w:t>“三-2-②中小企业声明函（价格扣除适用，若有）”及“三-2-③小型、微型企业等证明材料（价格扣除适用，若有）”。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2、本表以合同包为单位，不同合同包请分别填写；同一合同包请按照其品目号顺序分别填写。</w:t>
      </w:r>
    </w:p>
    <w:p>
      <w:pPr>
        <w:pStyle w:val="14"/>
        <w:widowControl/>
        <w:shd w:val="clear" w:color="auto" w:fill="FFFFFF"/>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shd w:val="clear" w:color="auto" w:fill="FFFFFF"/>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20"/>
          <w:rFonts w:hint="eastAsia" w:ascii="宋体" w:hAnsi="宋体" w:eastAsia="宋体" w:cs="宋体"/>
          <w:color w:val="auto"/>
          <w:sz w:val="21"/>
          <w:szCs w:val="21"/>
          <w:highlight w:val="none"/>
          <w:shd w:val="clear" w:color="auto" w:fill="FFFFFF"/>
        </w:rPr>
        <w:t>可享受价格扣除。</w:t>
      </w:r>
    </w:p>
    <w:p>
      <w:pPr>
        <w:pStyle w:val="14"/>
        <w:widowControl/>
        <w:shd w:val="clear" w:color="auto" w:fill="FFFFFF"/>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shd w:val="clear" w:color="auto" w:fill="FFFFFF"/>
        </w:rPr>
        <w:t>4、纸质投标文件正本中的本表（若有）应为原件。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3"/>
        <w:rPr>
          <w:rFonts w:ascii="宋体" w:hAnsi="宋体" w:eastAsia="宋体" w:cs="宋体"/>
          <w:color w:val="auto"/>
          <w:highlight w:val="none"/>
        </w:rPr>
      </w:pPr>
      <w:r>
        <w:rPr>
          <w:rStyle w:val="20"/>
          <w:rFonts w:hint="eastAsia" w:ascii="宋体" w:hAnsi="宋体" w:eastAsia="宋体" w:cs="宋体"/>
          <w:color w:val="auto"/>
          <w:sz w:val="21"/>
          <w:szCs w:val="21"/>
          <w:highlight w:val="none"/>
        </w:rPr>
        <w:t>三-2-②中小企业声明函（价格扣除适用，若有）</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75" w:beforeAutospacing="0" w:after="75" w:afterAutospacing="0"/>
        <w:ind w:firstLine="420"/>
        <w:jc w:val="center"/>
        <w:rPr>
          <w:rFonts w:ascii="宋体" w:hAnsi="宋体" w:eastAsia="宋体" w:cs="宋体"/>
          <w:color w:val="auto"/>
          <w:highlight w:val="none"/>
        </w:rPr>
      </w:pPr>
      <w:r>
        <w:rPr>
          <w:rFonts w:hint="eastAsia" w:ascii="宋体" w:hAnsi="宋体" w:eastAsia="宋体" w:cs="宋体"/>
          <w:color w:val="auto"/>
          <w:highlight w:val="none"/>
        </w:rPr>
        <w:t>中小企业声明函（货物）</w:t>
      </w: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1"/>
          <w:szCs w:val="21"/>
          <w:highlight w:val="none"/>
        </w:rPr>
        <w:t xml:space="preserve">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  （标的名称） ，属于（采购文件中明确的所属行业）行业；制造商为（企业名称），从业人员  人，营业收入为  万元，资产总额为  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，属于（中型企业、小型企业、微型企业）；</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2.  （标的名称） ， 属 于 （采购文件中明确的所属行业 ）行业；制造商为（企业名称），从业人员  人，营业收入为  万元，资产总额为  万元，属于（中型企业、小型企业、微型企业）；</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pStyle w:val="14"/>
        <w:widowControl/>
        <w:spacing w:before="75" w:beforeAutospacing="0" w:after="75" w:afterAutospacing="0"/>
        <w:rPr>
          <w:rFonts w:ascii="宋体" w:hAnsi="宋体" w:eastAsia="宋体" w:cs="宋体"/>
          <w:color w:val="auto"/>
          <w:sz w:val="21"/>
          <w:szCs w:val="21"/>
          <w:highlight w:val="none"/>
        </w:rPr>
      </w:pP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以上企业，不属于大企业的分支机构，不存在控股股东为大企业的情形，也不存在与大企业的负责人为同一人的情形。</w:t>
      </w:r>
    </w:p>
    <w:p>
      <w:pPr>
        <w:pStyle w:val="14"/>
        <w:widowControl/>
        <w:spacing w:before="75" w:beforeAutospacing="0" w:after="75" w:afterAutospacing="0"/>
        <w:rPr>
          <w:rFonts w:ascii="宋体" w:hAnsi="宋体" w:eastAsia="宋体" w:cs="宋体"/>
          <w:color w:val="auto"/>
          <w:sz w:val="21"/>
          <w:szCs w:val="21"/>
          <w:highlight w:val="none"/>
        </w:rPr>
      </w:pP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本企业对上述声明内容的真实性负责。如有虚假，将依法承担相应责任。</w:t>
      </w:r>
    </w:p>
    <w:p>
      <w:pPr>
        <w:pStyle w:val="14"/>
        <w:widowControl/>
        <w:spacing w:before="75" w:beforeAutospacing="0" w:after="75" w:afterAutospacing="0"/>
        <w:rPr>
          <w:rFonts w:ascii="宋体" w:hAnsi="宋体" w:eastAsia="宋体" w:cs="宋体"/>
          <w:color w:val="auto"/>
          <w:sz w:val="21"/>
          <w:szCs w:val="21"/>
          <w:highlight w:val="none"/>
        </w:rPr>
      </w:pPr>
    </w:p>
    <w:p>
      <w:pPr>
        <w:pStyle w:val="14"/>
        <w:widowControl/>
        <w:spacing w:before="75" w:beforeAutospacing="0" w:after="75" w:afterAutospacing="0"/>
        <w:rPr>
          <w:rFonts w:ascii="宋体" w:hAnsi="宋体" w:eastAsia="宋体" w:cs="宋体"/>
          <w:color w:val="auto"/>
          <w:sz w:val="21"/>
          <w:szCs w:val="21"/>
          <w:highlight w:val="none"/>
        </w:rPr>
      </w:pP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企业名称（盖章）：        </w:t>
      </w:r>
    </w:p>
    <w:p>
      <w:pPr>
        <w:pStyle w:val="14"/>
        <w:widowControl/>
        <w:spacing w:before="75" w:beforeAutospacing="0" w:after="75"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p>
    <w:p>
      <w:pPr>
        <w:pStyle w:val="14"/>
        <w:widowControl/>
        <w:spacing w:before="75" w:beforeAutospacing="0" w:after="75" w:afterAutospacing="0"/>
        <w:rPr>
          <w:rFonts w:ascii="宋体" w:hAnsi="宋体" w:eastAsia="宋体" w:cs="宋体"/>
          <w:color w:val="auto"/>
          <w:sz w:val="21"/>
          <w:szCs w:val="21"/>
          <w:highlight w:val="none"/>
        </w:rPr>
      </w:pP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1从业人员、营业收入、资产总额填报上一年度数据，无上一年度数据的新成立企业可不填报。</w:t>
      </w:r>
    </w:p>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rPr>
          <w:rFonts w:ascii="宋体" w:hAnsi="宋体" w:eastAsia="宋体" w:cs="宋体"/>
          <w:color w:val="auto"/>
          <w:highlight w:val="none"/>
        </w:rPr>
      </w:pP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highlight w:val="none"/>
        </w:rPr>
        <w:br w:type="page"/>
      </w:r>
    </w:p>
    <w:p>
      <w:pPr>
        <w:pStyle w:val="14"/>
        <w:widowControl/>
        <w:spacing w:before="75" w:beforeAutospacing="0" w:after="75" w:afterAutospacing="0"/>
        <w:ind w:firstLine="420"/>
        <w:jc w:val="center"/>
        <w:rPr>
          <w:rFonts w:ascii="宋体" w:hAnsi="宋体" w:eastAsia="宋体" w:cs="宋体"/>
          <w:color w:val="auto"/>
          <w:sz w:val="21"/>
          <w:szCs w:val="21"/>
          <w:highlight w:val="none"/>
        </w:rPr>
      </w:pPr>
      <w:r>
        <w:rPr>
          <w:rFonts w:hint="eastAsia" w:ascii="宋体" w:hAnsi="宋体" w:eastAsia="宋体" w:cs="宋体"/>
          <w:color w:val="auto"/>
          <w:highlight w:val="none"/>
        </w:rPr>
        <w:t>中小企业声明函（工程、服务</w:t>
      </w:r>
      <w:r>
        <w:rPr>
          <w:rFonts w:hint="eastAsia" w:ascii="宋体" w:hAnsi="宋体" w:eastAsia="宋体" w:cs="宋体"/>
          <w:color w:val="auto"/>
          <w:sz w:val="21"/>
          <w:szCs w:val="21"/>
          <w:highlight w:val="none"/>
        </w:rPr>
        <w:t>）</w:t>
      </w:r>
    </w:p>
    <w:p>
      <w:pPr>
        <w:pStyle w:val="14"/>
        <w:widowControl/>
        <w:spacing w:before="75" w:beforeAutospacing="0" w:after="75" w:afterAutospacing="0"/>
        <w:ind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本公司（联合体）郑重声明，根据《政府采购促进中小企业发展管理办法》（财库﹝2020﹞46 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4"/>
        <w:widowControl/>
        <w:spacing w:before="75" w:beforeAutospacing="0" w:after="75" w:afterAutospacing="0"/>
        <w:ind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 （标的名称），属于（采购文件中明确的所属行业）；承建（承接）企业为（企业名称），从业人员  </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人，营业收入为  万元，资产总额为  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，属于（中型企业、小型企业、微型企业）；</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 （标的名称），属于（采购文件中明确的所属行业）；承建（承接）企业为（企业名称），从业人员  人，营业收入为  万元，资产总额为  万元，属于（中型企业、小型企业、微型企业）；</w:t>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以上企业，不属于大企业的分支机构，不存在控股股东为大企业的情形，也不存在与大企业的负责人为同一人的情形。</w:t>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本企业对上述声明内容的真实性负责。如有虚假，将依法承担相应责任。</w:t>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企业名称（盖章）：          </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1从业人员、营业收入、资产总额填报上一年度数据，无上一年度数据的新成立企业可不填报。</w:t>
      </w:r>
    </w:p>
    <w:p>
      <w:pPr>
        <w:pStyle w:val="14"/>
        <w:widowControl/>
        <w:spacing w:beforeAutospacing="0" w:after="150" w:afterAutospacing="0"/>
        <w:ind w:firstLine="420"/>
        <w:rPr>
          <w:rFonts w:ascii="宋体" w:hAnsi="宋体" w:eastAsia="宋体" w:cs="宋体"/>
          <w:color w:val="auto"/>
          <w:highlight w:val="none"/>
        </w:rPr>
      </w:pP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3"/>
        <w:rPr>
          <w:rFonts w:ascii="宋体" w:hAnsi="宋体" w:eastAsia="宋体" w:cs="宋体"/>
          <w:color w:val="auto"/>
          <w:highlight w:val="none"/>
        </w:rPr>
      </w:pPr>
      <w:r>
        <w:rPr>
          <w:rStyle w:val="20"/>
          <w:rFonts w:hint="eastAsia" w:ascii="宋体" w:hAnsi="宋体" w:eastAsia="宋体" w:cs="宋体"/>
          <w:color w:val="auto"/>
          <w:sz w:val="21"/>
          <w:szCs w:val="21"/>
          <w:highlight w:val="none"/>
        </w:rPr>
        <w:t>三-2-③小型、微型企业等证明材料（价格扣除适用，若有）</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0"/>
        <w:rPr>
          <w:rFonts w:ascii="宋体" w:hAnsi="宋体" w:eastAsia="宋体" w:cs="宋体"/>
          <w:color w:val="auto"/>
          <w:highlight w:val="none"/>
        </w:rPr>
      </w:pPr>
      <w:bookmarkStart w:id="47" w:name="_Toc22463"/>
      <w:r>
        <w:rPr>
          <w:rFonts w:hint="eastAsia" w:ascii="宋体" w:hAnsi="宋体" w:eastAsia="宋体" w:cs="宋体"/>
          <w:color w:val="auto"/>
          <w:sz w:val="21"/>
          <w:szCs w:val="21"/>
          <w:highlight w:val="none"/>
        </w:rPr>
        <w:t>编制说明</w:t>
      </w:r>
      <w:bookmarkEnd w:id="47"/>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1、投标人应按照招标文件要求提供相应证明材料，证明材料应与《中小企业声明函》的内容相一致，否则视为《中小企业声明函》内容不真实。</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2、投标人为监狱企业的，根据其提供的由省级以上监狱管理局、戒毒管理局（含新疆生产建设兵团）出具的属于监狱企业的证明文件进行认定，监狱企业视同小型、微型企业。</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附：</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21"/>
          <w:szCs w:val="21"/>
          <w:highlight w:val="none"/>
        </w:rPr>
        <w:t>残疾人福利性单位声明函（价格扣除适用，若有）</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项目采购活动：</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）提供本投标人制造的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货物，或提供其他残疾人福利性单位制造的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货物（不包括使用非残疾人福利性单位注册商标的货物）。（说明：只有部分货物由残疾人福利企业制造的，在该货物后标</w:t>
      </w:r>
      <w:r>
        <w:rPr>
          <w:rFonts w:hint="eastAsia" w:ascii="宋体" w:hAnsi="宋体" w:eastAsia="宋体" w:cs="宋体"/>
          <w:color w:val="auto"/>
          <w:sz w:val="19"/>
          <w:szCs w:val="19"/>
          <w:highlight w:val="none"/>
          <w:shd w:val="clear" w:color="auto" w:fill="FFFFFF"/>
        </w:rPr>
        <w:t>★</w:t>
      </w:r>
      <w:r>
        <w:rPr>
          <w:rFonts w:hint="eastAsia" w:ascii="宋体" w:hAnsi="宋体" w:eastAsia="宋体" w:cs="宋体"/>
          <w:color w:val="auto"/>
          <w:sz w:val="21"/>
          <w:szCs w:val="21"/>
          <w:highlight w:val="none"/>
        </w:rPr>
        <w:t>）</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）由本投标人承建的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工程</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）由本投标人承接的</w:t>
      </w:r>
      <w:r>
        <w:rPr>
          <w:rFonts w:hint="eastAsia" w:ascii="宋体" w:hAnsi="宋体" w:eastAsia="宋体" w:cs="宋体"/>
          <w:color w:val="auto"/>
          <w:sz w:val="21"/>
          <w:szCs w:val="21"/>
          <w:highlight w:val="none"/>
          <w:u w:val="single"/>
        </w:rPr>
        <w:t>（填写“所投合同包、品目号”）</w:t>
      </w:r>
      <w:r>
        <w:rPr>
          <w:rFonts w:hint="eastAsia" w:ascii="宋体" w:hAnsi="宋体" w:eastAsia="宋体" w:cs="宋体"/>
          <w:color w:val="auto"/>
          <w:sz w:val="21"/>
          <w:szCs w:val="21"/>
          <w:highlight w:val="none"/>
        </w:rPr>
        <w:t>服务；</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本投标人对上述声明的真实性负责。如有虚假，将依法承担相应责任。</w:t>
      </w:r>
    </w:p>
    <w:p>
      <w:pPr>
        <w:pStyle w:val="14"/>
        <w:widowControl/>
        <w:spacing w:before="75" w:beforeAutospacing="0" w:after="75"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备注：</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1、请投标人按照实际情况编制填写本声明函，并在相应的（）中打“√”。</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2、纸质投标文件正本中的本声明函（若有）应为原件。</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3、若《残疾人福利性单位声明函》内容不真实，</w:t>
      </w:r>
      <w:r>
        <w:rPr>
          <w:rStyle w:val="20"/>
          <w:rFonts w:hint="eastAsia" w:ascii="宋体" w:hAnsi="宋体" w:eastAsia="宋体" w:cs="宋体"/>
          <w:color w:val="auto"/>
          <w:sz w:val="21"/>
          <w:szCs w:val="21"/>
          <w:highlight w:val="none"/>
        </w:rPr>
        <w:t>视为提供虚假材料。</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ind w:firstLine="420"/>
        <w:rPr>
          <w:rFonts w:ascii="宋体" w:hAnsi="宋体" w:eastAsia="宋体" w:cs="宋体"/>
          <w:color w:val="auto"/>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三-3招标文件规定的其他价格扣除证明材料（若有）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0"/>
        <w:rPr>
          <w:rFonts w:ascii="宋体" w:hAnsi="宋体" w:eastAsia="宋体" w:cs="宋体"/>
          <w:color w:val="auto"/>
          <w:highlight w:val="none"/>
        </w:rPr>
      </w:pPr>
      <w:bookmarkStart w:id="48" w:name="_Toc8120"/>
      <w:r>
        <w:rPr>
          <w:rFonts w:hint="eastAsia" w:ascii="宋体" w:hAnsi="宋体" w:eastAsia="宋体" w:cs="宋体"/>
          <w:color w:val="auto"/>
          <w:sz w:val="21"/>
          <w:szCs w:val="21"/>
          <w:highlight w:val="none"/>
        </w:rPr>
        <w:t>编制说明</w:t>
      </w:r>
      <w:bookmarkEnd w:id="48"/>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若投标人可享受招标文件规定的除</w:t>
      </w:r>
      <w:r>
        <w:rPr>
          <w:rStyle w:val="20"/>
          <w:rFonts w:hint="eastAsia" w:ascii="宋体" w:hAnsi="宋体" w:eastAsia="宋体" w:cs="宋体"/>
          <w:color w:val="auto"/>
          <w:sz w:val="21"/>
          <w:szCs w:val="21"/>
          <w:highlight w:val="none"/>
        </w:rPr>
        <w:t>“节能（非强制类）、环境标志产品价格扣除”及“小型、微型企业产品等价格扣除”</w:t>
      </w:r>
      <w:r>
        <w:rPr>
          <w:rFonts w:hint="eastAsia" w:ascii="宋体" w:hAnsi="宋体" w:eastAsia="宋体" w:cs="宋体"/>
          <w:color w:val="auto"/>
          <w:sz w:val="21"/>
          <w:szCs w:val="21"/>
          <w:highlight w:val="none"/>
        </w:rPr>
        <w:t>外的其他价格扣除优惠，则投标人应按照招标文件要求提供相应证明材料。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49" w:name="_Toc10178"/>
      <w:r>
        <w:rPr>
          <w:rStyle w:val="20"/>
          <w:rFonts w:hint="eastAsia" w:ascii="宋体" w:hAnsi="宋体" w:eastAsia="宋体" w:cs="宋体"/>
          <w:color w:val="auto"/>
          <w:sz w:val="21"/>
          <w:szCs w:val="21"/>
          <w:highlight w:val="none"/>
        </w:rPr>
        <w:t>四、招标文件规定的加分证明材料（若有）</w:t>
      </w:r>
      <w:bookmarkEnd w:id="49"/>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2"/>
        <w:rPr>
          <w:rFonts w:ascii="宋体" w:hAnsi="宋体" w:eastAsia="宋体" w:cs="宋体"/>
          <w:color w:val="auto"/>
          <w:highlight w:val="none"/>
        </w:rPr>
      </w:pPr>
      <w:r>
        <w:rPr>
          <w:rStyle w:val="20"/>
          <w:rFonts w:hint="eastAsia" w:ascii="宋体" w:hAnsi="宋体" w:eastAsia="宋体" w:cs="宋体"/>
          <w:color w:val="auto"/>
          <w:sz w:val="21"/>
          <w:szCs w:val="21"/>
          <w:highlight w:val="none"/>
        </w:rPr>
        <w:t>四-1优先类节能产品、环境标志产品加分证明材料（若有）</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3"/>
        <w:rPr>
          <w:rFonts w:ascii="宋体" w:hAnsi="宋体" w:eastAsia="宋体" w:cs="宋体"/>
          <w:color w:val="auto"/>
          <w:highlight w:val="none"/>
        </w:rPr>
      </w:pPr>
      <w:r>
        <w:rPr>
          <w:rStyle w:val="20"/>
          <w:rFonts w:hint="eastAsia" w:ascii="宋体" w:hAnsi="宋体" w:eastAsia="宋体" w:cs="宋体"/>
          <w:color w:val="auto"/>
          <w:sz w:val="21"/>
          <w:szCs w:val="21"/>
          <w:highlight w:val="none"/>
        </w:rPr>
        <w:t>四-1-①优先类节能产品、环境标志产品统计表（加分适用，若有）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jc w:val="right"/>
        <w:rPr>
          <w:rFonts w:ascii="宋体" w:hAnsi="宋体" w:eastAsia="宋体" w:cs="宋体"/>
          <w:color w:val="auto"/>
          <w:highlight w:val="none"/>
        </w:rPr>
      </w:pPr>
      <w:r>
        <w:rPr>
          <w:rFonts w:hint="eastAsia" w:ascii="宋体" w:hAnsi="宋体" w:eastAsia="宋体" w:cs="宋体"/>
          <w:color w:val="auto"/>
          <w:sz w:val="21"/>
          <w:szCs w:val="21"/>
          <w:highlight w:val="none"/>
        </w:rPr>
        <w:t>货币及单位：人民币元</w:t>
      </w:r>
    </w:p>
    <w:tbl>
      <w:tblPr>
        <w:tblStyle w:val="18"/>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a.合同包内属于节能、环境标志产品的报价总金额：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b.合同包投标总价（报价总金额）：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c.“合同包内属于节能、环境标志产品的报价总金额”占“合同包投标总价（报价总金额）”的比例（以%列示）：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tc>
      </w:tr>
    </w:tbl>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1、对节能、环境标志产品计算加分时，只依据投标文件</w:t>
      </w:r>
      <w:r>
        <w:rPr>
          <w:rStyle w:val="20"/>
          <w:rFonts w:hint="eastAsia" w:ascii="宋体" w:hAnsi="宋体" w:eastAsia="宋体" w:cs="宋体"/>
          <w:color w:val="auto"/>
          <w:sz w:val="21"/>
          <w:szCs w:val="21"/>
          <w:highlight w:val="none"/>
        </w:rPr>
        <w:t>“四-1-②优先类节能产品、环境标志产品加分证明材料（加分适用，若有）”。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2、本表以合同包为单位，不同合同包请分别填写；同一合同包请按照其品目号顺序分别填写。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3、具体统计、计算：</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3.1 若节能、环境标志产品仅是构成投标产品的部件、组件或零件，则该投标产品不享受鼓励优惠政策。同一品目中各认证证书不重复计算加分。强制类节能产品不享受加分。</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3.2计算结果若除不尽，可四舍五入保留到小数点后两位。</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3.3投标人应按照招标文件要求认真统计、计算，否则评标委员会不予认定。</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3.4若无节能、环境标志产品，不填写本表，否则，</w:t>
      </w:r>
      <w:r>
        <w:rPr>
          <w:rStyle w:val="20"/>
          <w:rFonts w:hint="eastAsia" w:ascii="宋体" w:hAnsi="宋体" w:eastAsia="宋体" w:cs="宋体"/>
          <w:color w:val="auto"/>
          <w:sz w:val="21"/>
          <w:szCs w:val="21"/>
          <w:highlight w:val="none"/>
        </w:rPr>
        <w:t>视为提供虚假材料</w:t>
      </w: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4、纸质投标文件正本中的本表（若有）应为原件。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3"/>
        <w:rPr>
          <w:rFonts w:ascii="宋体" w:hAnsi="宋体" w:eastAsia="宋体" w:cs="宋体"/>
          <w:color w:val="auto"/>
          <w:highlight w:val="none"/>
        </w:rPr>
      </w:pPr>
      <w:r>
        <w:rPr>
          <w:rStyle w:val="20"/>
          <w:rFonts w:hint="eastAsia" w:ascii="宋体" w:hAnsi="宋体" w:eastAsia="宋体" w:cs="宋体"/>
          <w:color w:val="auto"/>
          <w:sz w:val="21"/>
          <w:szCs w:val="21"/>
          <w:highlight w:val="none"/>
        </w:rPr>
        <w:t>四-1-②优先类节能产品、环境标志产品证明材料（加分适用，若有）</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Style w:val="20"/>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0"/>
        <w:rPr>
          <w:rFonts w:ascii="宋体" w:hAnsi="宋体" w:eastAsia="宋体" w:cs="宋体"/>
          <w:color w:val="auto"/>
          <w:highlight w:val="none"/>
        </w:rPr>
      </w:pPr>
      <w:bookmarkStart w:id="50" w:name="_Toc26358"/>
      <w:r>
        <w:rPr>
          <w:rFonts w:hint="eastAsia" w:ascii="宋体" w:hAnsi="宋体" w:eastAsia="宋体" w:cs="宋体"/>
          <w:color w:val="auto"/>
          <w:sz w:val="21"/>
          <w:szCs w:val="21"/>
          <w:highlight w:val="none"/>
        </w:rPr>
        <w:t>编制说明</w:t>
      </w:r>
      <w:bookmarkEnd w:id="50"/>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除招标文件另有规定外，投标人应按照招标文件第二章（表1）第13项规定提供相应证明材料。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2"/>
        <w:rPr>
          <w:rFonts w:ascii="宋体" w:hAnsi="宋体" w:eastAsia="宋体" w:cs="宋体"/>
          <w:color w:val="auto"/>
          <w:highlight w:val="none"/>
        </w:rPr>
      </w:pPr>
      <w:r>
        <w:rPr>
          <w:rFonts w:hint="eastAsia" w:ascii="宋体" w:hAnsi="宋体" w:eastAsia="宋体" w:cs="宋体"/>
          <w:color w:val="auto"/>
          <w:sz w:val="21"/>
          <w:szCs w:val="21"/>
          <w:highlight w:val="none"/>
        </w:rPr>
        <w:t>四</w:t>
      </w:r>
      <w:r>
        <w:rPr>
          <w:rStyle w:val="20"/>
          <w:rFonts w:hint="eastAsia" w:ascii="宋体" w:hAnsi="宋体" w:eastAsia="宋体" w:cs="宋体"/>
          <w:color w:val="auto"/>
          <w:sz w:val="21"/>
          <w:szCs w:val="21"/>
          <w:highlight w:val="none"/>
        </w:rPr>
        <w:t>-2招标文件规定的其他加分证明材料（若有）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0"/>
        <w:rPr>
          <w:rFonts w:ascii="宋体" w:hAnsi="宋体" w:eastAsia="宋体" w:cs="宋体"/>
          <w:color w:val="auto"/>
          <w:highlight w:val="none"/>
        </w:rPr>
      </w:pPr>
      <w:bookmarkStart w:id="51" w:name="_Toc32207"/>
      <w:r>
        <w:rPr>
          <w:rFonts w:hint="eastAsia" w:ascii="宋体" w:hAnsi="宋体" w:eastAsia="宋体" w:cs="宋体"/>
          <w:color w:val="auto"/>
          <w:sz w:val="21"/>
          <w:szCs w:val="21"/>
          <w:highlight w:val="none"/>
        </w:rPr>
        <w:t>编制说明</w:t>
      </w:r>
      <w:bookmarkEnd w:id="51"/>
    </w:p>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若投标人可享受招标文件规定的除</w:t>
      </w:r>
      <w:r>
        <w:rPr>
          <w:rStyle w:val="20"/>
          <w:rFonts w:hint="eastAsia" w:ascii="宋体" w:hAnsi="宋体" w:eastAsia="宋体" w:cs="宋体"/>
          <w:color w:val="auto"/>
          <w:sz w:val="21"/>
          <w:szCs w:val="21"/>
          <w:highlight w:val="none"/>
        </w:rPr>
        <w:t>“优先类节能产品、环境标志产品加分”</w:t>
      </w:r>
      <w:r>
        <w:rPr>
          <w:rFonts w:hint="eastAsia" w:ascii="宋体" w:hAnsi="宋体" w:eastAsia="宋体" w:cs="宋体"/>
          <w:color w:val="auto"/>
          <w:sz w:val="21"/>
          <w:szCs w:val="21"/>
          <w:highlight w:val="none"/>
        </w:rPr>
        <w:t>外的其他加分优惠，则投标人应按照招标文件要求提供相应证明材料。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rPr>
          <w:rFonts w:ascii="宋体" w:hAnsi="宋体" w:eastAsia="宋体" w:cs="宋体"/>
          <w:color w:val="auto"/>
          <w:sz w:val="21"/>
          <w:szCs w:val="21"/>
          <w:highlight w:val="none"/>
        </w:rPr>
      </w:pPr>
    </w:p>
    <w:p>
      <w:pPr>
        <w:pStyle w:val="14"/>
        <w:widowControl/>
        <w:spacing w:beforeAutospacing="0" w:after="150" w:afterAutospacing="0"/>
        <w:jc w:val="center"/>
        <w:outlineLvl w:val="0"/>
        <w:rPr>
          <w:rFonts w:ascii="宋体" w:hAnsi="宋体" w:eastAsia="宋体" w:cs="宋体"/>
          <w:color w:val="auto"/>
          <w:highlight w:val="none"/>
        </w:rPr>
      </w:pPr>
      <w:bookmarkStart w:id="52" w:name="_Toc27799"/>
      <w:r>
        <w:rPr>
          <w:rStyle w:val="20"/>
          <w:rFonts w:hint="eastAsia" w:ascii="宋体" w:hAnsi="宋体" w:eastAsia="宋体" w:cs="宋体"/>
          <w:color w:val="auto"/>
          <w:sz w:val="28"/>
          <w:szCs w:val="28"/>
          <w:highlight w:val="none"/>
        </w:rPr>
        <w:t>封面格式</w:t>
      </w:r>
      <w:bookmarkEnd w:id="52"/>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48"/>
          <w:szCs w:val="48"/>
          <w:highlight w:val="none"/>
        </w:rPr>
        <w:t>福建省政府采购投标文件</w:t>
      </w:r>
    </w:p>
    <w:p>
      <w:pPr>
        <w:pStyle w:val="14"/>
        <w:widowControl/>
        <w:spacing w:beforeAutospacing="0" w:after="150" w:afterAutospacing="0"/>
        <w:jc w:val="center"/>
        <w:outlineLvl w:val="0"/>
        <w:rPr>
          <w:rFonts w:ascii="宋体" w:hAnsi="宋体" w:eastAsia="宋体" w:cs="宋体"/>
          <w:color w:val="auto"/>
          <w:highlight w:val="none"/>
        </w:rPr>
      </w:pPr>
      <w:bookmarkStart w:id="53" w:name="_Toc13366"/>
      <w:r>
        <w:rPr>
          <w:rStyle w:val="20"/>
          <w:rFonts w:hint="eastAsia" w:ascii="宋体" w:hAnsi="宋体" w:eastAsia="宋体" w:cs="宋体"/>
          <w:color w:val="auto"/>
          <w:sz w:val="48"/>
          <w:szCs w:val="48"/>
          <w:highlight w:val="none"/>
        </w:rPr>
        <w:t>（技术商务部分）</w:t>
      </w:r>
      <w:bookmarkEnd w:id="53"/>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36"/>
          <w:szCs w:val="36"/>
          <w:highlight w:val="none"/>
          <w:u w:val="single"/>
        </w:rPr>
        <w:t>（填写正本或副本）</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项目名称：</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备案编号：</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招标编号：</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ind w:firstLine="1920"/>
        <w:rPr>
          <w:rFonts w:ascii="宋体" w:hAnsi="宋体" w:eastAsia="宋体" w:cs="宋体"/>
          <w:color w:val="auto"/>
          <w:highlight w:val="none"/>
        </w:rPr>
      </w:pPr>
      <w:r>
        <w:rPr>
          <w:rStyle w:val="20"/>
          <w:rFonts w:hint="eastAsia" w:ascii="宋体" w:hAnsi="宋体" w:eastAsia="宋体" w:cs="宋体"/>
          <w:color w:val="auto"/>
          <w:sz w:val="31"/>
          <w:szCs w:val="31"/>
          <w:highlight w:val="none"/>
        </w:rPr>
        <w:t>所投合同包：</w:t>
      </w:r>
      <w:r>
        <w:rPr>
          <w:rStyle w:val="20"/>
          <w:rFonts w:hint="eastAsia" w:ascii="宋体" w:hAnsi="宋体" w:eastAsia="宋体" w:cs="宋体"/>
          <w:color w:val="auto"/>
          <w:sz w:val="31"/>
          <w:szCs w:val="31"/>
          <w:highlight w:val="none"/>
          <w:u w:val="single"/>
        </w:rPr>
        <w:t>（由投标人填写）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36"/>
          <w:szCs w:val="36"/>
          <w:highlight w:val="none"/>
        </w:rPr>
        <w:t xml:space="preserve"> </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31"/>
          <w:szCs w:val="31"/>
          <w:highlight w:val="none"/>
        </w:rPr>
        <w:t>投标人：</w:t>
      </w:r>
      <w:r>
        <w:rPr>
          <w:rStyle w:val="20"/>
          <w:rFonts w:hint="eastAsia" w:ascii="宋体" w:hAnsi="宋体" w:eastAsia="宋体" w:cs="宋体"/>
          <w:color w:val="auto"/>
          <w:sz w:val="31"/>
          <w:szCs w:val="31"/>
          <w:highlight w:val="none"/>
          <w:u w:val="single"/>
        </w:rPr>
        <w:t>（填写“全称”）</w:t>
      </w:r>
    </w:p>
    <w:p>
      <w:pPr>
        <w:pStyle w:val="14"/>
        <w:widowControl/>
        <w:spacing w:beforeAutospacing="0" w:after="150" w:afterAutospacing="0"/>
        <w:jc w:val="center"/>
        <w:rPr>
          <w:rFonts w:ascii="宋体" w:hAnsi="宋体" w:eastAsia="宋体" w:cs="宋体"/>
          <w:color w:val="auto"/>
          <w:highlight w:val="none"/>
        </w:rPr>
      </w:pPr>
      <w:r>
        <w:rPr>
          <w:rStyle w:val="20"/>
          <w:rFonts w:hint="eastAsia" w:ascii="宋体" w:hAnsi="宋体" w:eastAsia="宋体" w:cs="宋体"/>
          <w:color w:val="auto"/>
          <w:sz w:val="31"/>
          <w:szCs w:val="31"/>
          <w:highlight w:val="none"/>
          <w:u w:val="single"/>
        </w:rPr>
        <w:t>（由投标人填写）</w:t>
      </w:r>
      <w:r>
        <w:rPr>
          <w:rStyle w:val="20"/>
          <w:rFonts w:hint="eastAsia" w:ascii="宋体" w:hAnsi="宋体" w:eastAsia="宋体" w:cs="宋体"/>
          <w:color w:val="auto"/>
          <w:sz w:val="31"/>
          <w:szCs w:val="31"/>
          <w:highlight w:val="none"/>
        </w:rPr>
        <w:t>年</w:t>
      </w:r>
      <w:r>
        <w:rPr>
          <w:rStyle w:val="20"/>
          <w:rFonts w:hint="eastAsia" w:ascii="宋体" w:hAnsi="宋体" w:eastAsia="宋体" w:cs="宋体"/>
          <w:color w:val="auto"/>
          <w:sz w:val="31"/>
          <w:szCs w:val="31"/>
          <w:highlight w:val="none"/>
          <w:u w:val="single"/>
        </w:rPr>
        <w:t>（由投标人填写）</w:t>
      </w:r>
      <w:r>
        <w:rPr>
          <w:rStyle w:val="20"/>
          <w:rFonts w:hint="eastAsia" w:ascii="宋体" w:hAnsi="宋体" w:eastAsia="宋体" w:cs="宋体"/>
          <w:color w:val="auto"/>
          <w:sz w:val="31"/>
          <w:szCs w:val="31"/>
          <w:highlight w:val="none"/>
        </w:rPr>
        <w:t>月</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highlight w:val="none"/>
        </w:rPr>
        <w:br w:type="page"/>
      </w: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outlineLvl w:val="0"/>
        <w:rPr>
          <w:rFonts w:ascii="宋体" w:hAnsi="宋体" w:eastAsia="宋体" w:cs="宋体"/>
          <w:color w:val="auto"/>
          <w:highlight w:val="none"/>
        </w:rPr>
      </w:pPr>
      <w:bookmarkStart w:id="54" w:name="_Toc22433"/>
      <w:r>
        <w:rPr>
          <w:rStyle w:val="20"/>
          <w:rFonts w:hint="eastAsia" w:ascii="宋体" w:hAnsi="宋体" w:eastAsia="宋体" w:cs="宋体"/>
          <w:color w:val="auto"/>
          <w:sz w:val="28"/>
          <w:szCs w:val="28"/>
          <w:highlight w:val="none"/>
        </w:rPr>
        <w:t>索引</w:t>
      </w:r>
      <w:bookmarkEnd w:id="54"/>
    </w:p>
    <w:p>
      <w:pPr>
        <w:pStyle w:val="14"/>
        <w:widowControl/>
        <w:spacing w:beforeAutospacing="0" w:after="150" w:afterAutospacing="0"/>
        <w:outlineLvl w:val="0"/>
        <w:rPr>
          <w:rFonts w:ascii="宋体" w:hAnsi="宋体" w:eastAsia="宋体" w:cs="宋体"/>
          <w:color w:val="auto"/>
          <w:highlight w:val="none"/>
        </w:rPr>
      </w:pPr>
      <w:bookmarkStart w:id="55" w:name="_Toc7160"/>
      <w:r>
        <w:rPr>
          <w:rFonts w:hint="eastAsia" w:ascii="宋体" w:hAnsi="宋体" w:eastAsia="宋体" w:cs="宋体"/>
          <w:color w:val="auto"/>
          <w:sz w:val="28"/>
          <w:szCs w:val="28"/>
          <w:highlight w:val="none"/>
        </w:rPr>
        <w:t>一、标的说明一览表</w:t>
      </w:r>
      <w:bookmarkEnd w:id="55"/>
    </w:p>
    <w:p>
      <w:pPr>
        <w:pStyle w:val="14"/>
        <w:widowControl/>
        <w:spacing w:beforeAutospacing="0" w:after="150" w:afterAutospacing="0"/>
        <w:outlineLvl w:val="0"/>
        <w:rPr>
          <w:rFonts w:ascii="宋体" w:hAnsi="宋体" w:eastAsia="宋体" w:cs="宋体"/>
          <w:color w:val="auto"/>
          <w:highlight w:val="none"/>
        </w:rPr>
      </w:pPr>
      <w:bookmarkStart w:id="56" w:name="_Toc10977"/>
      <w:r>
        <w:rPr>
          <w:rFonts w:hint="eastAsia" w:ascii="宋体" w:hAnsi="宋体" w:eastAsia="宋体" w:cs="宋体"/>
          <w:color w:val="auto"/>
          <w:sz w:val="28"/>
          <w:szCs w:val="28"/>
          <w:highlight w:val="none"/>
        </w:rPr>
        <w:t>二、技术和服务要求响应表</w:t>
      </w:r>
      <w:bookmarkEnd w:id="56"/>
    </w:p>
    <w:p>
      <w:pPr>
        <w:pStyle w:val="14"/>
        <w:widowControl/>
        <w:spacing w:beforeAutospacing="0" w:after="150" w:afterAutospacing="0"/>
        <w:outlineLvl w:val="0"/>
        <w:rPr>
          <w:rFonts w:ascii="宋体" w:hAnsi="宋体" w:eastAsia="宋体" w:cs="宋体"/>
          <w:color w:val="auto"/>
          <w:highlight w:val="none"/>
        </w:rPr>
      </w:pPr>
      <w:bookmarkStart w:id="57" w:name="_Toc29517"/>
      <w:r>
        <w:rPr>
          <w:rFonts w:hint="eastAsia" w:ascii="宋体" w:hAnsi="宋体" w:eastAsia="宋体" w:cs="宋体"/>
          <w:color w:val="auto"/>
          <w:sz w:val="28"/>
          <w:szCs w:val="28"/>
          <w:highlight w:val="none"/>
        </w:rPr>
        <w:t>三、商务条件响应表</w:t>
      </w:r>
      <w:bookmarkEnd w:id="57"/>
    </w:p>
    <w:p>
      <w:pPr>
        <w:pStyle w:val="14"/>
        <w:widowControl/>
        <w:spacing w:beforeAutospacing="0" w:after="150" w:afterAutospacing="0"/>
        <w:outlineLvl w:val="0"/>
        <w:rPr>
          <w:rFonts w:ascii="宋体" w:hAnsi="宋体" w:eastAsia="宋体" w:cs="宋体"/>
          <w:color w:val="auto"/>
          <w:highlight w:val="none"/>
        </w:rPr>
      </w:pPr>
      <w:bookmarkStart w:id="58" w:name="_Toc24514"/>
      <w:r>
        <w:rPr>
          <w:rFonts w:hint="eastAsia" w:ascii="宋体" w:hAnsi="宋体" w:eastAsia="宋体" w:cs="宋体"/>
          <w:color w:val="auto"/>
          <w:sz w:val="28"/>
          <w:szCs w:val="28"/>
          <w:highlight w:val="none"/>
        </w:rPr>
        <w:t>四、投标人提交的其他资料（若有）</w:t>
      </w:r>
      <w:bookmarkEnd w:id="58"/>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0"/>
        <w:rPr>
          <w:rFonts w:ascii="宋体" w:hAnsi="宋体" w:eastAsia="宋体" w:cs="宋体"/>
          <w:color w:val="auto"/>
          <w:highlight w:val="none"/>
        </w:rPr>
      </w:pPr>
      <w:bookmarkStart w:id="59" w:name="_Toc6566"/>
      <w:r>
        <w:rPr>
          <w:rFonts w:hint="eastAsia" w:ascii="宋体" w:hAnsi="宋体" w:eastAsia="宋体" w:cs="宋体"/>
          <w:color w:val="auto"/>
          <w:sz w:val="21"/>
          <w:szCs w:val="21"/>
          <w:highlight w:val="none"/>
        </w:rPr>
        <w:t>★注意</w:t>
      </w:r>
      <w:bookmarkEnd w:id="59"/>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技术商务部分中不得出现报价部分的全部或部分的投标报价信息（或组成资料），否则</w:t>
      </w:r>
      <w:r>
        <w:rPr>
          <w:rStyle w:val="20"/>
          <w:rFonts w:hint="eastAsia" w:ascii="宋体" w:hAnsi="宋体" w:eastAsia="宋体" w:cs="宋体"/>
          <w:color w:val="auto"/>
          <w:sz w:val="21"/>
          <w:szCs w:val="21"/>
          <w:highlight w:val="none"/>
        </w:rPr>
        <w:t>符合性审查不合格</w:t>
      </w:r>
      <w:r>
        <w:rPr>
          <w:rFonts w:hint="eastAsia" w:ascii="宋体" w:hAnsi="宋体" w:eastAsia="宋体" w:cs="宋体"/>
          <w:color w:val="auto"/>
          <w:sz w:val="21"/>
          <w:szCs w:val="21"/>
          <w:highlight w:val="none"/>
        </w:rPr>
        <w:t>。</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ind w:firstLine="42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60" w:name="_Toc15582"/>
      <w:r>
        <w:rPr>
          <w:rStyle w:val="20"/>
          <w:rFonts w:hint="eastAsia" w:ascii="宋体" w:hAnsi="宋体" w:eastAsia="宋体" w:cs="宋体"/>
          <w:color w:val="auto"/>
          <w:sz w:val="21"/>
          <w:szCs w:val="21"/>
          <w:highlight w:val="none"/>
        </w:rPr>
        <w:t>一、标的说明一览表</w:t>
      </w:r>
      <w:bookmarkEnd w:id="60"/>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p>
    <w:tbl>
      <w:tblPr>
        <w:tblStyle w:val="18"/>
        <w:tblW w:w="85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58"/>
        <w:gridCol w:w="854"/>
        <w:gridCol w:w="1691"/>
        <w:gridCol w:w="853"/>
        <w:gridCol w:w="1138"/>
        <w:gridCol w:w="1138"/>
        <w:gridCol w:w="18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691"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投标标的</w:t>
            </w:r>
          </w:p>
        </w:tc>
        <w:tc>
          <w:tcPr>
            <w:tcW w:w="85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13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规格</w:t>
            </w:r>
          </w:p>
        </w:tc>
        <w:tc>
          <w:tcPr>
            <w:tcW w:w="113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来源地</w:t>
            </w:r>
          </w:p>
        </w:tc>
        <w:tc>
          <w:tcPr>
            <w:tcW w:w="188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58"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691"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85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88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58"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highlight w:val="none"/>
              </w:rPr>
            </w:pP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1691"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85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88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691"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85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88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r>
    </w:tbl>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1、本表应按照下列规定填写：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1.1“合同包”、“品目号”、“投标标的”及“数量”应与招标文件《采购标的一览表》中的有关内容（“合同包”、“品目号”、“采购标的”及“数量”）保持一致。</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1.2“投标标的”为货物的：</w:t>
      </w:r>
      <w:r>
        <w:rPr>
          <w:rStyle w:val="20"/>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项下应填写货物制造厂商赋予的品牌（属于节能、环保清单产品的货物，填写的品牌名称应与清单载明的品牌名称保持一致）及具体型号。</w:t>
      </w:r>
      <w:r>
        <w:rPr>
          <w:rStyle w:val="20"/>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应填写货物的原产地。</w:t>
      </w:r>
      <w:r>
        <w:rPr>
          <w:rStyle w:val="20"/>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1.3“投标标的”为服务的：</w:t>
      </w:r>
      <w:r>
        <w:rPr>
          <w:rStyle w:val="20"/>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项下应填写服务提供者提供的服务标准及品牌（若有）。</w:t>
      </w:r>
      <w:r>
        <w:rPr>
          <w:rStyle w:val="20"/>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应填写服务提供者的所在地。</w:t>
      </w:r>
      <w:r>
        <w:rPr>
          <w:rStyle w:val="20"/>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项下应填写关于服务标准所涵盖的具体项目或内容的说明等。</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2、投标人需要说明的内容若需特殊表达，应先在本表中进行相应说明，再另页应答，否则</w:t>
      </w:r>
      <w:r>
        <w:rPr>
          <w:rStyle w:val="20"/>
          <w:rFonts w:hint="eastAsia" w:ascii="宋体" w:hAnsi="宋体" w:eastAsia="宋体" w:cs="宋体"/>
          <w:color w:val="auto"/>
          <w:sz w:val="21"/>
          <w:szCs w:val="21"/>
          <w:highlight w:val="none"/>
        </w:rPr>
        <w:t>投标无效</w:t>
      </w: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3、投标文件中涉及</w:t>
      </w:r>
      <w:r>
        <w:rPr>
          <w:rStyle w:val="20"/>
          <w:rFonts w:hint="eastAsia" w:ascii="宋体" w:hAnsi="宋体" w:eastAsia="宋体" w:cs="宋体"/>
          <w:color w:val="auto"/>
          <w:sz w:val="21"/>
          <w:szCs w:val="21"/>
          <w:highlight w:val="none"/>
        </w:rPr>
        <w:t>“投标标的”、“数量”、“规格”、“来源地”</w:t>
      </w:r>
      <w:r>
        <w:rPr>
          <w:rFonts w:hint="eastAsia" w:ascii="宋体" w:hAnsi="宋体" w:eastAsia="宋体" w:cs="宋体"/>
          <w:color w:val="auto"/>
          <w:sz w:val="21"/>
          <w:szCs w:val="21"/>
          <w:highlight w:val="none"/>
        </w:rPr>
        <w:t>的内容若不一致，</w:t>
      </w:r>
      <w:r>
        <w:rPr>
          <w:rStyle w:val="20"/>
          <w:rFonts w:hint="eastAsia" w:ascii="宋体" w:hAnsi="宋体" w:eastAsia="宋体" w:cs="宋体"/>
          <w:color w:val="auto"/>
          <w:sz w:val="21"/>
          <w:szCs w:val="21"/>
          <w:highlight w:val="none"/>
        </w:rPr>
        <w:t>应以本表为准</w:t>
      </w: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4、纸质投标文件正本中的本表应为原件。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Style w:val="20"/>
          <w:rFonts w:ascii="宋体" w:hAnsi="宋体" w:eastAsia="宋体" w:cs="宋体"/>
          <w:color w:val="auto"/>
          <w:sz w:val="21"/>
          <w:szCs w:val="21"/>
          <w:highlight w:val="none"/>
        </w:rPr>
      </w:pPr>
    </w:p>
    <w:p>
      <w:pPr>
        <w:pStyle w:val="14"/>
        <w:widowControl/>
        <w:spacing w:beforeAutospacing="0" w:after="150" w:afterAutospacing="0"/>
        <w:jc w:val="center"/>
        <w:rPr>
          <w:rStyle w:val="20"/>
          <w:rFonts w:ascii="宋体" w:hAnsi="宋体" w:eastAsia="宋体" w:cs="宋体"/>
          <w:color w:val="auto"/>
          <w:sz w:val="21"/>
          <w:szCs w:val="21"/>
          <w:highlight w:val="none"/>
        </w:rPr>
      </w:pPr>
    </w:p>
    <w:p>
      <w:pPr>
        <w:pStyle w:val="14"/>
        <w:widowControl/>
        <w:spacing w:beforeAutospacing="0" w:after="150" w:afterAutospacing="0"/>
        <w:jc w:val="center"/>
        <w:rPr>
          <w:rStyle w:val="20"/>
          <w:rFonts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61" w:name="_Toc13434"/>
      <w:r>
        <w:rPr>
          <w:rStyle w:val="20"/>
          <w:rFonts w:hint="eastAsia" w:ascii="宋体" w:hAnsi="宋体" w:eastAsia="宋体" w:cs="宋体"/>
          <w:color w:val="auto"/>
          <w:sz w:val="21"/>
          <w:szCs w:val="21"/>
          <w:highlight w:val="none"/>
        </w:rPr>
        <w:t>二、技术和服务要求响应表</w:t>
      </w:r>
      <w:bookmarkEnd w:id="61"/>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p>
    <w:tbl>
      <w:tblPr>
        <w:tblStyle w:val="18"/>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5" w:hRule="atLeast"/>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r>
    </w:tbl>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1、本表应按照下列规定填写：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1.1“技术和服务要求”项下填写的内容应与招标文件第五章“技术和服务要求”的内容保持一致。</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1.2“投标响应”项下应填写具体的响应内容并与“技术和服务要求”项下填写的内容逐项对应；对“技术和服务要求”项下涉及“≥或＞”、“≤或＜”及某个区间值范围内的内容，应填写具体的数值。</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1.3“是否偏离及说明”项下应按下列规定填写：优于的，填写“正偏离”；符合的，填写“无偏离”；低于的，填写“负偏离”。</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    另页应答，否则</w:t>
      </w:r>
      <w:r>
        <w:rPr>
          <w:rStyle w:val="20"/>
          <w:rFonts w:hint="eastAsia" w:ascii="宋体" w:hAnsi="宋体" w:eastAsia="宋体" w:cs="宋体"/>
          <w:color w:val="auto"/>
          <w:sz w:val="21"/>
          <w:szCs w:val="21"/>
          <w:highlight w:val="none"/>
        </w:rPr>
        <w:t>投标无效</w:t>
      </w: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3、纸质投标文件正本中的本表应为原件。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62" w:name="_Toc28174"/>
      <w:r>
        <w:rPr>
          <w:rStyle w:val="20"/>
          <w:rFonts w:hint="eastAsia" w:ascii="宋体" w:hAnsi="宋体" w:eastAsia="宋体" w:cs="宋体"/>
          <w:color w:val="auto"/>
          <w:sz w:val="21"/>
          <w:szCs w:val="21"/>
          <w:highlight w:val="none"/>
        </w:rPr>
        <w:t>三、商务条件响应表</w:t>
      </w:r>
      <w:bookmarkEnd w:id="62"/>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xml:space="preserve">                   </w:t>
      </w:r>
    </w:p>
    <w:tbl>
      <w:tblPr>
        <w:tblStyle w:val="18"/>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highlight w:val="none"/>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highlight w:val="none"/>
              </w:rPr>
            </w:pPr>
            <w:r>
              <w:rPr>
                <w:rFonts w:hint="eastAsia" w:ascii="宋体" w:hAnsi="宋体" w:eastAsia="宋体" w:cs="宋体"/>
                <w:color w:val="auto"/>
                <w:sz w:val="21"/>
                <w:szCs w:val="21"/>
                <w:highlight w:val="none"/>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highlight w:val="none"/>
              </w:rPr>
            </w:pPr>
          </w:p>
        </w:tc>
      </w:tr>
    </w:tbl>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1、本表应按照下列规定填写：</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1.1“商务条件”项下填写的内容应与招标文件第五章“商务条件”的内容保持一致。</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1.2“投标响应”项下应填写具体的响应内容并与“商务条件”项下填写的内容逐项对应；对“商务条件”项下涉及“≥或＞”、“≤或＜”及某个区间值范围内的内容，应填写具体的数值。</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1.3“是否偏离及说明”项下应按下列规定填写：优于的，填写“正偏离”；符合的，填写“无偏离”；低于的，填写“负偏离”。</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2、投标人需要说明的内容若需特殊表达，应先在本表中进行相应说明，再另页应答，否则</w:t>
      </w:r>
      <w:r>
        <w:rPr>
          <w:rStyle w:val="20"/>
          <w:rFonts w:hint="eastAsia" w:ascii="宋体" w:hAnsi="宋体" w:eastAsia="宋体" w:cs="宋体"/>
          <w:color w:val="auto"/>
          <w:sz w:val="21"/>
          <w:szCs w:val="21"/>
          <w:highlight w:val="none"/>
        </w:rPr>
        <w:t>投标无效</w:t>
      </w:r>
      <w:r>
        <w:rPr>
          <w:rFonts w:hint="eastAsia" w:ascii="宋体" w:hAnsi="宋体" w:eastAsia="宋体" w:cs="宋体"/>
          <w:color w:val="auto"/>
          <w:sz w:val="21"/>
          <w:szCs w:val="21"/>
          <w:highlight w:val="none"/>
        </w:rPr>
        <w:t>。</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3、纸质投标文件正本中的本表应为原件。</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p>
    <w:p>
      <w:pPr>
        <w:pStyle w:val="14"/>
        <w:widowControl/>
        <w:spacing w:beforeAutospacing="0" w:after="150" w:afterAutospacing="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14"/>
        <w:widowControl/>
        <w:spacing w:beforeAutospacing="0" w:after="150" w:afterAutospacing="0"/>
        <w:jc w:val="center"/>
        <w:outlineLvl w:val="0"/>
        <w:rPr>
          <w:rFonts w:ascii="宋体" w:hAnsi="宋体" w:eastAsia="宋体" w:cs="宋体"/>
          <w:color w:val="auto"/>
          <w:highlight w:val="none"/>
        </w:rPr>
      </w:pPr>
      <w:bookmarkStart w:id="63" w:name="_Toc21391"/>
      <w:r>
        <w:rPr>
          <w:rStyle w:val="20"/>
          <w:rFonts w:hint="eastAsia" w:ascii="宋体" w:hAnsi="宋体" w:eastAsia="宋体" w:cs="宋体"/>
          <w:color w:val="auto"/>
          <w:sz w:val="21"/>
          <w:szCs w:val="21"/>
          <w:highlight w:val="none"/>
        </w:rPr>
        <w:t>四、投标人提交的其他资料（若有）</w:t>
      </w:r>
      <w:bookmarkEnd w:id="63"/>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jc w:val="center"/>
        <w:outlineLvl w:val="0"/>
        <w:rPr>
          <w:rFonts w:ascii="宋体" w:hAnsi="宋体" w:eastAsia="宋体" w:cs="宋体"/>
          <w:color w:val="auto"/>
          <w:highlight w:val="none"/>
        </w:rPr>
      </w:pPr>
      <w:bookmarkStart w:id="64" w:name="_Toc20995"/>
      <w:r>
        <w:rPr>
          <w:rFonts w:hint="eastAsia" w:ascii="宋体" w:hAnsi="宋体" w:eastAsia="宋体" w:cs="宋体"/>
          <w:color w:val="auto"/>
          <w:sz w:val="21"/>
          <w:szCs w:val="21"/>
          <w:highlight w:val="none"/>
        </w:rPr>
        <w:t>编制说明</w:t>
      </w:r>
      <w:bookmarkEnd w:id="64"/>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1、招标文件要求提交的除</w:t>
      </w:r>
      <w:r>
        <w:rPr>
          <w:rStyle w:val="20"/>
          <w:rFonts w:hint="eastAsia" w:ascii="宋体" w:hAnsi="宋体" w:eastAsia="宋体" w:cs="宋体"/>
          <w:color w:val="auto"/>
          <w:sz w:val="21"/>
          <w:szCs w:val="21"/>
          <w:highlight w:val="none"/>
        </w:rPr>
        <w:t>“资格及资信证明部分”、“报价部分”</w:t>
      </w:r>
      <w:r>
        <w:rPr>
          <w:rFonts w:hint="eastAsia" w:ascii="宋体" w:hAnsi="宋体" w:eastAsia="宋体" w:cs="宋体"/>
          <w:color w:val="auto"/>
          <w:sz w:val="21"/>
          <w:szCs w:val="21"/>
          <w:highlight w:val="none"/>
        </w:rPr>
        <w:t>外的其他证明材料或资料加盖投标人的单位公章后应在此项下提交。</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2、招标文件要求投标人提供方案（包括但不限于：组织、实施、技术、服务方案等）的，投标人应在此项下提交。</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3、除招标文件另有规定外，投标人认为需要提交的其他证明材料或资料加盖投标人的单位公章后应在此项下提交。</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Autospacing="0" w:after="150"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14"/>
        <w:widowControl/>
        <w:spacing w:before="75" w:beforeAutospacing="0" w:after="75" w:afterAutospacing="0"/>
        <w:rPr>
          <w:rFonts w:ascii="宋体" w:hAnsi="宋体" w:eastAsia="宋体" w:cs="宋体"/>
          <w:color w:val="auto"/>
          <w:highlight w:val="none"/>
        </w:rPr>
      </w:pPr>
      <w:r>
        <w:rPr>
          <w:rFonts w:hint="eastAsia" w:ascii="宋体" w:hAnsi="宋体" w:eastAsia="宋体" w:cs="宋体"/>
          <w:color w:val="auto"/>
          <w:sz w:val="21"/>
          <w:szCs w:val="21"/>
          <w:highlight w:val="none"/>
        </w:rPr>
        <w:t xml:space="preserve"> </w:t>
      </w:r>
    </w:p>
    <w:p>
      <w:pPr>
        <w:pStyle w:val="5"/>
        <w:widowControl/>
        <w:shd w:val="clear" w:color="auto" w:fill="FFFFFF"/>
        <w:spacing w:before="300" w:beforeAutospacing="0" w:after="150" w:afterAutospacing="0" w:line="17" w:lineRule="atLeast"/>
        <w:rPr>
          <w:rFonts w:hint="default" w:cs="宋体"/>
          <w:b w:val="0"/>
          <w:color w:val="auto"/>
          <w:sz w:val="33"/>
          <w:szCs w:val="33"/>
          <w:highlight w:val="none"/>
        </w:rPr>
      </w:pPr>
      <w:r>
        <w:rPr>
          <w:rFonts w:cs="宋体"/>
          <w:b w:val="0"/>
          <w:color w:val="auto"/>
          <w:sz w:val="33"/>
          <w:szCs w:val="33"/>
          <w:highlight w:val="none"/>
          <w:shd w:val="clear" w:color="auto" w:fill="FFFFFF"/>
        </w:rPr>
        <w:t>采购文件相关附件</w:t>
      </w:r>
    </w:p>
    <w:p>
      <w:pPr>
        <w:rPr>
          <w:rFonts w:ascii="宋体" w:hAnsi="宋体" w:eastAsia="宋体" w:cs="宋体"/>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2555" cy="1460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2555" cy="146050"/>
                      </a:xfrm>
                      <a:prstGeom prst="rect">
                        <a:avLst/>
                      </a:prstGeom>
                      <a:noFill/>
                      <a:ln w="6350">
                        <a:noFill/>
                      </a:ln>
                      <a:effectLst/>
                    </wps:spPr>
                    <wps:txbx>
                      <w:txbxContent>
                        <w:p>
                          <w:pPr>
                            <w:pStyle w:val="12"/>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9.65pt;mso-position-horizontal:center;mso-position-horizontal-relative:margin;mso-wrap-style:none;z-index:251660288;mso-width-relative:page;mso-height-relative:page;" filled="f" stroked="f" coordsize="21600,21600" o:gfxdata="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vRW0zSAAAAAwEAAA8AAAAAAAAAAQAgAAAAIgAAAGRycy9kb3ducmV2LnhtbFBL&#10;AQIUABQAAAAIAIdO4kCLlvD/NQIAAGEEAAAOAAAAAAAAAAEAIAAAACEBAABkcnMvZTJvRG9jLnht&#10;bFBLBQYAAAAABgAGAFkBAADI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65455" cy="1543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5455"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36.65pt;mso-position-horizontal:center;mso-position-horizontal-relative:margin;mso-wrap-style:none;z-index:251659264;mso-width-relative:page;mso-height-relative:page;" filled="f" stroked="f" coordsize="21600,21600" o:gfxdata="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KM+yR0gAAAAMBAAAPAAAAAAAAAAEAIAAAACIAAABkcnMvZG93bnJldi54bWxQSwECFAAU&#10;AAAACACHTuJAqpdKWjACAABTBAAADgAAAAAAAAABACAAAAAh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74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43591F"/>
    <w:multiLevelType w:val="singleLevel"/>
    <w:tmpl w:val="9043591F"/>
    <w:lvl w:ilvl="0" w:tentative="0">
      <w:start w:val="1"/>
      <w:numFmt w:val="decimal"/>
      <w:suff w:val="nothing"/>
      <w:lvlText w:val="%1、"/>
      <w:lvlJc w:val="left"/>
    </w:lvl>
  </w:abstractNum>
  <w:abstractNum w:abstractNumId="1">
    <w:nsid w:val="93E521A6"/>
    <w:multiLevelType w:val="singleLevel"/>
    <w:tmpl w:val="93E521A6"/>
    <w:lvl w:ilvl="0" w:tentative="0">
      <w:start w:val="2"/>
      <w:numFmt w:val="chineseCounting"/>
      <w:suff w:val="nothing"/>
      <w:lvlText w:val="（%1）"/>
      <w:lvlJc w:val="left"/>
      <w:rPr>
        <w:rFonts w:hint="eastAsia"/>
      </w:rPr>
    </w:lvl>
  </w:abstractNum>
  <w:abstractNum w:abstractNumId="2">
    <w:nsid w:val="1766D6A8"/>
    <w:multiLevelType w:val="singleLevel"/>
    <w:tmpl w:val="1766D6A8"/>
    <w:lvl w:ilvl="0" w:tentative="0">
      <w:start w:val="3"/>
      <w:numFmt w:val="chineseCounting"/>
      <w:suff w:val="nothing"/>
      <w:lvlText w:val="%1、"/>
      <w:lvlJc w:val="left"/>
      <w:rPr>
        <w:rFonts w:hint="eastAsia"/>
      </w:rPr>
    </w:lvl>
  </w:abstractNum>
  <w:abstractNum w:abstractNumId="3">
    <w:nsid w:val="4A892286"/>
    <w:multiLevelType w:val="singleLevel"/>
    <w:tmpl w:val="4A892286"/>
    <w:lvl w:ilvl="0" w:tentative="0">
      <w:start w:val="4"/>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83"/>
    <w:rsid w:val="000B63A6"/>
    <w:rsid w:val="000C6020"/>
    <w:rsid w:val="000E6684"/>
    <w:rsid w:val="00111FFF"/>
    <w:rsid w:val="0023751D"/>
    <w:rsid w:val="002C6322"/>
    <w:rsid w:val="003E5F5B"/>
    <w:rsid w:val="00427F68"/>
    <w:rsid w:val="004309E1"/>
    <w:rsid w:val="00431D74"/>
    <w:rsid w:val="00465C30"/>
    <w:rsid w:val="00476D06"/>
    <w:rsid w:val="004D00A5"/>
    <w:rsid w:val="005C51D6"/>
    <w:rsid w:val="006337A9"/>
    <w:rsid w:val="00640A5E"/>
    <w:rsid w:val="008B3FE1"/>
    <w:rsid w:val="0092510D"/>
    <w:rsid w:val="00992342"/>
    <w:rsid w:val="009B5BCC"/>
    <w:rsid w:val="00A81B14"/>
    <w:rsid w:val="00B1437C"/>
    <w:rsid w:val="00B91C8F"/>
    <w:rsid w:val="00B96F4F"/>
    <w:rsid w:val="00C51501"/>
    <w:rsid w:val="00CC1B76"/>
    <w:rsid w:val="00CE6A83"/>
    <w:rsid w:val="00D219C7"/>
    <w:rsid w:val="00DD641A"/>
    <w:rsid w:val="00EC36C1"/>
    <w:rsid w:val="00F001F3"/>
    <w:rsid w:val="00F13423"/>
    <w:rsid w:val="00F40CED"/>
    <w:rsid w:val="00F41AF0"/>
    <w:rsid w:val="00F749B3"/>
    <w:rsid w:val="00F76E0B"/>
    <w:rsid w:val="02575A09"/>
    <w:rsid w:val="03B34F7A"/>
    <w:rsid w:val="03EE3630"/>
    <w:rsid w:val="05117505"/>
    <w:rsid w:val="06CA1E3A"/>
    <w:rsid w:val="07EC127D"/>
    <w:rsid w:val="08101219"/>
    <w:rsid w:val="09CA6A0D"/>
    <w:rsid w:val="0A046D57"/>
    <w:rsid w:val="0A8C3EBE"/>
    <w:rsid w:val="0FE1185F"/>
    <w:rsid w:val="106845F0"/>
    <w:rsid w:val="132D134C"/>
    <w:rsid w:val="13F30F56"/>
    <w:rsid w:val="147F5660"/>
    <w:rsid w:val="166D32E7"/>
    <w:rsid w:val="173475A4"/>
    <w:rsid w:val="182D55C3"/>
    <w:rsid w:val="19E217E9"/>
    <w:rsid w:val="1A4334F8"/>
    <w:rsid w:val="1B742724"/>
    <w:rsid w:val="1D112496"/>
    <w:rsid w:val="1D3B2B02"/>
    <w:rsid w:val="1D3E6F08"/>
    <w:rsid w:val="1DBC7A16"/>
    <w:rsid w:val="1DF16539"/>
    <w:rsid w:val="20547FB0"/>
    <w:rsid w:val="213E1717"/>
    <w:rsid w:val="216C0E99"/>
    <w:rsid w:val="22FC0A98"/>
    <w:rsid w:val="23DC5E71"/>
    <w:rsid w:val="248B60E5"/>
    <w:rsid w:val="273B20FC"/>
    <w:rsid w:val="279541F1"/>
    <w:rsid w:val="29887990"/>
    <w:rsid w:val="299235F3"/>
    <w:rsid w:val="29A416A7"/>
    <w:rsid w:val="29D61ABE"/>
    <w:rsid w:val="2A42455E"/>
    <w:rsid w:val="2B61448E"/>
    <w:rsid w:val="2B742801"/>
    <w:rsid w:val="2BEA283D"/>
    <w:rsid w:val="2CE57DEF"/>
    <w:rsid w:val="2D6B4EC3"/>
    <w:rsid w:val="2DD27CEC"/>
    <w:rsid w:val="2E2C0522"/>
    <w:rsid w:val="30B10903"/>
    <w:rsid w:val="339F1949"/>
    <w:rsid w:val="33BB449A"/>
    <w:rsid w:val="39BC3102"/>
    <w:rsid w:val="3AE30FE5"/>
    <w:rsid w:val="3B7742B2"/>
    <w:rsid w:val="3BEA1BA1"/>
    <w:rsid w:val="3C482A87"/>
    <w:rsid w:val="3C8012B5"/>
    <w:rsid w:val="3C9F0EA2"/>
    <w:rsid w:val="3D20444D"/>
    <w:rsid w:val="3D5A3BCD"/>
    <w:rsid w:val="3E7E7BF6"/>
    <w:rsid w:val="3EBC6050"/>
    <w:rsid w:val="3F3B5245"/>
    <w:rsid w:val="40C40E9D"/>
    <w:rsid w:val="421526F1"/>
    <w:rsid w:val="42FB73EF"/>
    <w:rsid w:val="446E611F"/>
    <w:rsid w:val="47104AD9"/>
    <w:rsid w:val="47477E5E"/>
    <w:rsid w:val="482618EF"/>
    <w:rsid w:val="498F183E"/>
    <w:rsid w:val="4B295D0B"/>
    <w:rsid w:val="4E5B5A97"/>
    <w:rsid w:val="4EEE4658"/>
    <w:rsid w:val="4EF76F38"/>
    <w:rsid w:val="4EFF6C2D"/>
    <w:rsid w:val="505918F4"/>
    <w:rsid w:val="50883950"/>
    <w:rsid w:val="509E5D75"/>
    <w:rsid w:val="515055A2"/>
    <w:rsid w:val="53762CD6"/>
    <w:rsid w:val="53815DDA"/>
    <w:rsid w:val="53E37AC3"/>
    <w:rsid w:val="56350192"/>
    <w:rsid w:val="5AAD5010"/>
    <w:rsid w:val="5AD87748"/>
    <w:rsid w:val="5ADF6F6E"/>
    <w:rsid w:val="5B192B10"/>
    <w:rsid w:val="5B362CCF"/>
    <w:rsid w:val="5B647C3B"/>
    <w:rsid w:val="5C5B6873"/>
    <w:rsid w:val="5C98589C"/>
    <w:rsid w:val="5E8B3008"/>
    <w:rsid w:val="5F66380C"/>
    <w:rsid w:val="61E55AD4"/>
    <w:rsid w:val="62552F26"/>
    <w:rsid w:val="63254F5B"/>
    <w:rsid w:val="63DD2FE6"/>
    <w:rsid w:val="64190FB9"/>
    <w:rsid w:val="64C22C0C"/>
    <w:rsid w:val="655C647E"/>
    <w:rsid w:val="66FA1535"/>
    <w:rsid w:val="67E24978"/>
    <w:rsid w:val="68345C79"/>
    <w:rsid w:val="68416B57"/>
    <w:rsid w:val="68F26C11"/>
    <w:rsid w:val="694A7899"/>
    <w:rsid w:val="69655076"/>
    <w:rsid w:val="69CE1230"/>
    <w:rsid w:val="6A7924D7"/>
    <w:rsid w:val="6A995C96"/>
    <w:rsid w:val="6ACA13EF"/>
    <w:rsid w:val="6ACC6833"/>
    <w:rsid w:val="6D1058CB"/>
    <w:rsid w:val="6E8F5CCC"/>
    <w:rsid w:val="6F2562D5"/>
    <w:rsid w:val="708E6714"/>
    <w:rsid w:val="70FD56A7"/>
    <w:rsid w:val="712031F8"/>
    <w:rsid w:val="713B6DFB"/>
    <w:rsid w:val="71B27A9B"/>
    <w:rsid w:val="721E31AD"/>
    <w:rsid w:val="73E35149"/>
    <w:rsid w:val="74A95AE3"/>
    <w:rsid w:val="74DA21C5"/>
    <w:rsid w:val="75CA7C63"/>
    <w:rsid w:val="765A2202"/>
    <w:rsid w:val="785F0729"/>
    <w:rsid w:val="7B3B3543"/>
    <w:rsid w:val="7B6636CE"/>
    <w:rsid w:val="7ED221D9"/>
    <w:rsid w:val="7FF54CB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29"/>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400" w:after="200" w:line="360" w:lineRule="auto"/>
      <w:ind w:firstLine="200" w:firstLineChars="200"/>
      <w:jc w:val="center"/>
      <w:outlineLvl w:val="0"/>
    </w:pPr>
    <w:rPr>
      <w:rFonts w:ascii="Arial" w:hAnsi="Arial"/>
      <w:b/>
      <w:bCs/>
      <w:kern w:val="0"/>
      <w:sz w:val="36"/>
      <w:szCs w:val="32"/>
    </w:rPr>
  </w:style>
  <w:style w:type="paragraph" w:styleId="6">
    <w:name w:val="Normal Indent"/>
    <w:basedOn w:val="1"/>
    <w:next w:val="1"/>
    <w:qFormat/>
    <w:uiPriority w:val="0"/>
    <w:pPr>
      <w:ind w:firstLine="420"/>
    </w:pPr>
  </w:style>
  <w:style w:type="paragraph" w:styleId="7">
    <w:name w:val="annotation text"/>
    <w:basedOn w:val="1"/>
    <w:qFormat/>
    <w:uiPriority w:val="0"/>
    <w:pPr>
      <w:jc w:val="left"/>
    </w:pPr>
  </w:style>
  <w:style w:type="paragraph" w:styleId="8">
    <w:name w:val="Body Text"/>
    <w:basedOn w:val="1"/>
    <w:qFormat/>
    <w:uiPriority w:val="0"/>
    <w:pPr>
      <w:spacing w:line="380" w:lineRule="exact"/>
    </w:pPr>
    <w:rPr>
      <w:sz w:val="24"/>
    </w:rPr>
  </w:style>
  <w:style w:type="paragraph" w:styleId="9">
    <w:name w:val="Body Text Indent"/>
    <w:basedOn w:val="1"/>
    <w:next w:val="10"/>
    <w:unhideWhenUsed/>
    <w:qFormat/>
    <w:uiPriority w:val="0"/>
    <w:pPr>
      <w:spacing w:after="120"/>
      <w:ind w:left="420" w:leftChars="200"/>
    </w:pPr>
  </w:style>
  <w:style w:type="paragraph" w:styleId="10">
    <w:name w:val="toc 1"/>
    <w:basedOn w:val="1"/>
    <w:next w:val="1"/>
    <w:qFormat/>
    <w:uiPriority w:val="39"/>
    <w:pPr>
      <w:widowControl/>
      <w:spacing w:after="100" w:line="259" w:lineRule="auto"/>
      <w:jc w:val="left"/>
    </w:pPr>
    <w:rPr>
      <w:rFonts w:ascii="Calibri" w:hAnsi="Calibri" w:eastAsia="宋体"/>
      <w:kern w:val="0"/>
      <w:sz w:val="22"/>
      <w:szCs w:val="22"/>
    </w:rPr>
  </w:style>
  <w:style w:type="paragraph" w:styleId="11">
    <w:name w:val="Balloon Text"/>
    <w:basedOn w:val="1"/>
    <w:link w:val="24"/>
    <w:qFormat/>
    <w:uiPriority w:val="0"/>
    <w:rPr>
      <w:sz w:val="18"/>
      <w:szCs w:val="18"/>
    </w:rPr>
  </w:style>
  <w:style w:type="paragraph" w:styleId="12">
    <w:name w:val="footer"/>
    <w:basedOn w:val="1"/>
    <w:link w:val="26"/>
    <w:qFormat/>
    <w:uiPriority w:val="0"/>
    <w:pPr>
      <w:tabs>
        <w:tab w:val="center" w:pos="4153"/>
        <w:tab w:val="right" w:pos="8306"/>
      </w:tabs>
      <w:snapToGrid w:val="0"/>
      <w:jc w:val="left"/>
    </w:pPr>
    <w:rPr>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Body Text First Indent"/>
    <w:basedOn w:val="8"/>
    <w:qFormat/>
    <w:uiPriority w:val="0"/>
    <w:pPr>
      <w:spacing w:after="120" w:line="240" w:lineRule="auto"/>
      <w:ind w:firstLine="420" w:firstLineChars="100"/>
    </w:pPr>
    <w:rPr>
      <w:sz w:val="21"/>
    </w:rPr>
  </w:style>
  <w:style w:type="paragraph" w:styleId="16">
    <w:name w:val="Body Text First Indent 2"/>
    <w:basedOn w:val="9"/>
    <w:next w:val="17"/>
    <w:qFormat/>
    <w:uiPriority w:val="99"/>
    <w:pPr>
      <w:tabs>
        <w:tab w:val="left" w:pos="0"/>
        <w:tab w:val="left" w:pos="993"/>
        <w:tab w:val="left" w:pos="1134"/>
      </w:tabs>
      <w:ind w:firstLine="420"/>
    </w:pPr>
    <w:rPr>
      <w:rFonts w:ascii="Times New Roman" w:hAnsi="Times New Roman" w:cs="Times New Roman"/>
    </w:rPr>
  </w:style>
  <w:style w:type="paragraph" w:customStyle="1" w:styleId="17">
    <w:name w:val="样式 标题 3 + (中文) 黑体 小四 非加粗 段前: 7.8 磅 段后: 0 磅 行距: 固定值 20 磅"/>
    <w:basedOn w:val="5"/>
    <w:qFormat/>
    <w:uiPriority w:val="0"/>
    <w:pPr>
      <w:tabs>
        <w:tab w:val="left" w:pos="425"/>
      </w:tabs>
      <w:spacing w:line="400" w:lineRule="exact"/>
    </w:pPr>
    <w:rPr>
      <w:rFonts w:eastAsia="黑体" w:cs="宋体"/>
      <w:b w:val="0"/>
      <w:kern w:val="2"/>
      <w:sz w:val="24"/>
      <w:szCs w:val="20"/>
    </w:rPr>
  </w:style>
  <w:style w:type="character" w:styleId="20">
    <w:name w:val="Strong"/>
    <w:basedOn w:val="19"/>
    <w:qFormat/>
    <w:uiPriority w:val="0"/>
    <w:rPr>
      <w:b/>
    </w:rPr>
  </w:style>
  <w:style w:type="character" w:styleId="21">
    <w:name w:val="Hyperlink"/>
    <w:basedOn w:val="19"/>
    <w:qFormat/>
    <w:uiPriority w:val="0"/>
    <w:rPr>
      <w:color w:val="0000FF"/>
      <w:u w:val="single"/>
    </w:rPr>
  </w:style>
  <w:style w:type="character" w:styleId="22">
    <w:name w:val="annotation reference"/>
    <w:basedOn w:val="19"/>
    <w:qFormat/>
    <w:uiPriority w:val="0"/>
    <w:rPr>
      <w:sz w:val="21"/>
      <w:szCs w:val="21"/>
    </w:rPr>
  </w:style>
  <w:style w:type="character" w:customStyle="1" w:styleId="23">
    <w:name w:val="active"/>
    <w:basedOn w:val="19"/>
    <w:qFormat/>
    <w:uiPriority w:val="0"/>
    <w:rPr>
      <w:shd w:val="clear" w:color="auto" w:fill="EC3535"/>
    </w:rPr>
  </w:style>
  <w:style w:type="character" w:customStyle="1" w:styleId="24">
    <w:name w:val="批注框文本字符"/>
    <w:basedOn w:val="19"/>
    <w:link w:val="11"/>
    <w:qFormat/>
    <w:uiPriority w:val="0"/>
    <w:rPr>
      <w:rFonts w:asciiTheme="minorHAnsi" w:hAnsiTheme="minorHAnsi" w:eastAsiaTheme="minorEastAsia" w:cstheme="minorBidi"/>
      <w:kern w:val="2"/>
      <w:sz w:val="18"/>
      <w:szCs w:val="18"/>
    </w:rPr>
  </w:style>
  <w:style w:type="character" w:customStyle="1" w:styleId="25">
    <w:name w:val="页眉字符"/>
    <w:basedOn w:val="19"/>
    <w:link w:val="13"/>
    <w:qFormat/>
    <w:uiPriority w:val="0"/>
    <w:rPr>
      <w:rFonts w:asciiTheme="minorHAnsi" w:hAnsiTheme="minorHAnsi" w:eastAsiaTheme="minorEastAsia" w:cstheme="minorBidi"/>
      <w:kern w:val="2"/>
      <w:sz w:val="18"/>
      <w:szCs w:val="18"/>
    </w:rPr>
  </w:style>
  <w:style w:type="character" w:customStyle="1" w:styleId="26">
    <w:name w:val="页脚字符"/>
    <w:basedOn w:val="19"/>
    <w:link w:val="12"/>
    <w:qFormat/>
    <w:uiPriority w:val="0"/>
    <w:rPr>
      <w:rFonts w:asciiTheme="minorHAnsi" w:hAnsiTheme="minorHAnsi" w:eastAsiaTheme="minorEastAsia" w:cstheme="minorBidi"/>
      <w:kern w:val="2"/>
      <w:sz w:val="18"/>
      <w:szCs w:val="18"/>
    </w:rPr>
  </w:style>
  <w:style w:type="character" w:customStyle="1" w:styleId="27">
    <w:name w:val="font31"/>
    <w:basedOn w:val="19"/>
    <w:qFormat/>
    <w:uiPriority w:val="0"/>
    <w:rPr>
      <w:rFonts w:hint="eastAsia" w:ascii="仿宋" w:hAnsi="仿宋" w:eastAsia="仿宋" w:cs="仿宋"/>
      <w:color w:val="FF0000"/>
      <w:sz w:val="20"/>
      <w:szCs w:val="20"/>
      <w:u w:val="none"/>
    </w:rPr>
  </w:style>
  <w:style w:type="character" w:customStyle="1" w:styleId="28">
    <w:name w:val="font51"/>
    <w:basedOn w:val="19"/>
    <w:qFormat/>
    <w:uiPriority w:val="0"/>
    <w:rPr>
      <w:rFonts w:hint="eastAsia" w:ascii="仿宋" w:hAnsi="仿宋" w:eastAsia="仿宋" w:cs="仿宋"/>
      <w:color w:val="FF0000"/>
      <w:sz w:val="18"/>
      <w:szCs w:val="18"/>
      <w:u w:val="none"/>
    </w:rPr>
  </w:style>
  <w:style w:type="character" w:customStyle="1" w:styleId="29">
    <w:name w:val="标题 2字符"/>
    <w:link w:val="4"/>
    <w:qFormat/>
    <w:uiPriority w:val="0"/>
    <w:rPr>
      <w:rFonts w:ascii="Arial" w:hAnsi="Arial" w:eastAsia="黑体"/>
      <w:b/>
      <w:sz w:val="32"/>
    </w:rPr>
  </w:style>
  <w:style w:type="paragraph" w:customStyle="1" w:styleId="30">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5BF0C-5551-3B44-92B6-B2CD8FD733A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136</Pages>
  <Words>14112</Words>
  <Characters>80439</Characters>
  <Lines>670</Lines>
  <Paragraphs>188</Paragraphs>
  <TotalTime>0</TotalTime>
  <ScaleCrop>false</ScaleCrop>
  <LinksUpToDate>false</LinksUpToDate>
  <CharactersWithSpaces>94363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2021-09-17T11:55:00Z</dcterms:created>
  <dc:creator>LT</dc:creator>
  <cp:lastModifiedBy>may-pc</cp:lastModifiedBy>
  <dcterms:modified xsi:type="dcterms:W3CDTF">2021-10-07T15:14:57Z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6B49789B82024B119A3AD7DFE93A5C0B</vt:lpwstr>
  </property>
</Properties>
</file>