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r>
        <w:rPr>
          <w:rStyle w:val="17"/>
          <w:rFonts w:hint="eastAsia" w:ascii="宋体" w:hAnsi="宋体" w:eastAsia="宋体" w:cs="宋体"/>
          <w:b/>
          <w:i w:val="0"/>
          <w:caps w:val="0"/>
          <w:color w:val="auto"/>
          <w:spacing w:val="0"/>
          <w:sz w:val="72"/>
          <w:szCs w:val="72"/>
          <w:highlight w:val="none"/>
          <w:shd w:val="clear" w:fill="FFFFFF"/>
        </w:rPr>
        <w:t>福建省政府采购</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r>
        <w:rPr>
          <w:rStyle w:val="17"/>
          <w:rFonts w:hint="eastAsia" w:ascii="宋体" w:hAnsi="宋体" w:eastAsia="宋体" w:cs="宋体"/>
          <w:b/>
          <w:i w:val="0"/>
          <w:caps w:val="0"/>
          <w:color w:val="auto"/>
          <w:spacing w:val="0"/>
          <w:sz w:val="72"/>
          <w:szCs w:val="72"/>
          <w:highlight w:val="none"/>
          <w:shd w:val="clear" w:fill="FFFFFF"/>
        </w:rPr>
        <w:t>货物和服务项目</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r>
        <w:rPr>
          <w:rStyle w:val="17"/>
          <w:rFonts w:hint="eastAsia" w:ascii="宋体" w:hAnsi="宋体" w:eastAsia="宋体" w:cs="宋体"/>
          <w:b/>
          <w:i w:val="0"/>
          <w:caps w:val="0"/>
          <w:color w:val="auto"/>
          <w:spacing w:val="0"/>
          <w:sz w:val="72"/>
          <w:szCs w:val="72"/>
          <w:highlight w:val="none"/>
          <w:shd w:val="clear" w:fill="FFFFFF"/>
        </w:rPr>
        <w:t>公开招标文件</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b/>
          <w:bCs/>
          <w:i w:val="0"/>
          <w:caps w:val="0"/>
          <w:color w:val="auto"/>
          <w:spacing w:val="0"/>
          <w:sz w:val="28"/>
          <w:szCs w:val="28"/>
          <w:highlight w:val="none"/>
          <w:lang w:eastAsia="zh-CN"/>
        </w:rPr>
      </w:pPr>
      <w:r>
        <w:rPr>
          <w:rFonts w:hint="eastAsia" w:ascii="宋体" w:hAnsi="宋体" w:eastAsia="宋体" w:cs="宋体"/>
          <w:b/>
          <w:bCs/>
          <w:i w:val="0"/>
          <w:caps w:val="0"/>
          <w:color w:val="auto"/>
          <w:spacing w:val="0"/>
          <w:sz w:val="28"/>
          <w:szCs w:val="28"/>
          <w:highlight w:val="none"/>
          <w:lang w:eastAsia="zh-CN"/>
        </w:rPr>
        <w:t>（</w:t>
      </w:r>
      <w:r>
        <w:rPr>
          <w:rFonts w:hint="eastAsia" w:ascii="宋体" w:hAnsi="宋体" w:eastAsia="宋体" w:cs="宋体"/>
          <w:b/>
          <w:bCs/>
          <w:i w:val="0"/>
          <w:caps w:val="0"/>
          <w:color w:val="auto"/>
          <w:spacing w:val="0"/>
          <w:sz w:val="28"/>
          <w:szCs w:val="28"/>
          <w:highlight w:val="none"/>
          <w:lang w:val="en-US" w:eastAsia="zh-CN"/>
        </w:rPr>
        <w:t>预公告版</w:t>
      </w:r>
      <w:r>
        <w:rPr>
          <w:rFonts w:hint="eastAsia" w:ascii="宋体" w:hAnsi="宋体" w:eastAsia="宋体" w:cs="宋体"/>
          <w:b/>
          <w:bCs/>
          <w:i w:val="0"/>
          <w:caps w:val="0"/>
          <w:color w:val="auto"/>
          <w:spacing w:val="0"/>
          <w:sz w:val="28"/>
          <w:szCs w:val="28"/>
          <w:highlight w:val="none"/>
          <w:lang w:eastAsia="zh-CN"/>
        </w:rPr>
        <w:t>）</w:t>
      </w:r>
      <w:bookmarkStart w:id="50" w:name="_GoBack"/>
      <w:bookmarkEnd w:id="50"/>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b/>
          <w:i w:val="0"/>
          <w:caps w:val="0"/>
          <w:color w:val="auto"/>
          <w:spacing w:val="0"/>
          <w:sz w:val="30"/>
          <w:szCs w:val="30"/>
          <w:highlight w:val="none"/>
          <w:shd w:val="clear" w:fill="FFFFFF"/>
          <w:lang w:eastAsia="zh-CN"/>
        </w:rPr>
      </w:pPr>
      <w:r>
        <w:rPr>
          <w:rStyle w:val="17"/>
          <w:rFonts w:hint="eastAsia" w:ascii="宋体" w:hAnsi="宋体" w:eastAsia="宋体" w:cs="宋体"/>
          <w:b/>
          <w:i w:val="0"/>
          <w:caps w:val="0"/>
          <w:color w:val="auto"/>
          <w:spacing w:val="0"/>
          <w:sz w:val="30"/>
          <w:szCs w:val="30"/>
          <w:highlight w:val="none"/>
          <w:shd w:val="clear" w:fill="FFFFFF"/>
        </w:rPr>
        <w:t>项目名称：台江区机关事务服务中心</w:t>
      </w:r>
      <w:r>
        <w:rPr>
          <w:rFonts w:hint="eastAsia" w:ascii="宋体" w:hAnsi="宋体" w:eastAsia="宋体" w:cs="宋体"/>
          <w:b/>
          <w:i w:val="0"/>
          <w:caps w:val="0"/>
          <w:color w:val="auto"/>
          <w:spacing w:val="0"/>
          <w:sz w:val="30"/>
          <w:szCs w:val="30"/>
          <w:highlight w:val="none"/>
          <w:shd w:val="clear" w:fill="FFFFFF"/>
          <w:lang w:eastAsia="zh-CN"/>
        </w:rPr>
        <w:t>台江区文化</w:t>
      </w:r>
    </w:p>
    <w:p>
      <w:pPr>
        <w:pStyle w:val="12"/>
        <w:keepNext w:val="0"/>
        <w:keepLines w:val="0"/>
        <w:widowControl/>
        <w:suppressLineNumbers w:val="0"/>
        <w:shd w:val="clear" w:fill="FFFFFF"/>
        <w:spacing w:before="75" w:beforeAutospacing="0" w:after="75" w:afterAutospacing="0"/>
        <w:ind w:left="0" w:right="0" w:firstLine="2711" w:firstLineChars="900"/>
        <w:rPr>
          <w:rFonts w:hint="eastAsia" w:ascii="宋体" w:hAnsi="宋体" w:eastAsia="宋体" w:cs="宋体"/>
          <w:i w:val="0"/>
          <w:caps w:val="0"/>
          <w:color w:val="auto"/>
          <w:spacing w:val="0"/>
          <w:sz w:val="19"/>
          <w:szCs w:val="19"/>
          <w:highlight w:val="none"/>
          <w:lang w:eastAsia="zh-CN"/>
        </w:rPr>
      </w:pPr>
      <w:r>
        <w:rPr>
          <w:rFonts w:hint="eastAsia" w:ascii="宋体" w:hAnsi="宋体" w:eastAsia="宋体" w:cs="宋体"/>
          <w:b/>
          <w:i w:val="0"/>
          <w:caps w:val="0"/>
          <w:color w:val="auto"/>
          <w:spacing w:val="0"/>
          <w:sz w:val="30"/>
          <w:szCs w:val="30"/>
          <w:highlight w:val="none"/>
          <w:shd w:val="clear" w:fill="FFFFFF"/>
          <w:lang w:eastAsia="zh-CN"/>
        </w:rPr>
        <w:t>活动中心物业管理服务项目</w:t>
      </w: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i w:val="0"/>
          <w:caps w:val="0"/>
          <w:color w:val="auto"/>
          <w:spacing w:val="0"/>
          <w:sz w:val="19"/>
          <w:szCs w:val="19"/>
          <w:highlight w:val="none"/>
          <w:lang w:eastAsia="zh-CN"/>
        </w:rPr>
      </w:pPr>
      <w:r>
        <w:rPr>
          <w:rStyle w:val="17"/>
          <w:rFonts w:hint="eastAsia" w:ascii="宋体" w:hAnsi="宋体" w:eastAsia="宋体" w:cs="宋体"/>
          <w:b/>
          <w:i w:val="0"/>
          <w:caps w:val="0"/>
          <w:color w:val="auto"/>
          <w:spacing w:val="0"/>
          <w:sz w:val="30"/>
          <w:szCs w:val="30"/>
          <w:highlight w:val="none"/>
          <w:shd w:val="clear" w:fill="FFFFFF"/>
        </w:rPr>
        <w:t>备案编号：</w:t>
      </w:r>
      <w:r>
        <w:rPr>
          <w:rFonts w:hint="eastAsia" w:ascii="宋体" w:hAnsi="宋体" w:eastAsia="宋体" w:cs="宋体"/>
          <w:b/>
          <w:i w:val="0"/>
          <w:caps w:val="0"/>
          <w:color w:val="auto"/>
          <w:spacing w:val="0"/>
          <w:sz w:val="30"/>
          <w:szCs w:val="30"/>
          <w:highlight w:val="none"/>
          <w:shd w:val="clear" w:fill="FFFFFF"/>
          <w:lang w:eastAsia="zh-CN"/>
        </w:rPr>
        <w:t>A2-350103JG-GK-202109-B2751-ZBZX</w:t>
      </w: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b/>
          <w:i w:val="0"/>
          <w:caps w:val="0"/>
          <w:color w:val="auto"/>
          <w:spacing w:val="0"/>
          <w:sz w:val="30"/>
          <w:szCs w:val="30"/>
          <w:highlight w:val="none"/>
          <w:shd w:val="clear" w:fill="FFFFFF"/>
          <w:lang w:eastAsia="zh-CN"/>
        </w:rPr>
      </w:pPr>
      <w:r>
        <w:rPr>
          <w:rStyle w:val="17"/>
          <w:rFonts w:hint="eastAsia" w:ascii="宋体" w:hAnsi="宋体" w:eastAsia="宋体" w:cs="宋体"/>
          <w:b/>
          <w:i w:val="0"/>
          <w:caps w:val="0"/>
          <w:color w:val="auto"/>
          <w:spacing w:val="0"/>
          <w:sz w:val="30"/>
          <w:szCs w:val="30"/>
          <w:highlight w:val="none"/>
          <w:shd w:val="clear" w:fill="FFFFFF"/>
        </w:rPr>
        <w:t>招标编号：</w:t>
      </w:r>
      <w:r>
        <w:rPr>
          <w:rFonts w:hint="eastAsia" w:ascii="宋体" w:hAnsi="宋体" w:eastAsia="宋体" w:cs="宋体"/>
          <w:b/>
          <w:i w:val="0"/>
          <w:caps w:val="0"/>
          <w:color w:val="auto"/>
          <w:spacing w:val="0"/>
          <w:sz w:val="30"/>
          <w:szCs w:val="30"/>
          <w:highlight w:val="none"/>
          <w:shd w:val="clear" w:fill="FFFFFF"/>
          <w:lang w:eastAsia="zh-CN"/>
        </w:rPr>
        <w:t>[350103]ZBZX[GK]2021002</w:t>
      </w:r>
    </w:p>
    <w:p>
      <w:pPr>
        <w:pStyle w:val="12"/>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b/>
          <w:i w:val="0"/>
          <w:caps w:val="0"/>
          <w:color w:val="auto"/>
          <w:spacing w:val="0"/>
          <w:sz w:val="30"/>
          <w:szCs w:val="30"/>
          <w:highlight w:val="none"/>
          <w:shd w:val="clear" w:fill="FFFFFF"/>
          <w:lang w:eastAsia="zh-CN"/>
        </w:rPr>
      </w:pP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ind w:left="0" w:right="0" w:firstLine="0"/>
        <w:jc w:val="center"/>
        <w:rPr>
          <w:rStyle w:val="17"/>
          <w:rFonts w:hint="eastAsia" w:ascii="宋体" w:hAnsi="宋体" w:eastAsia="宋体" w:cs="宋体"/>
          <w:b/>
          <w:i w:val="0"/>
          <w:caps w:val="0"/>
          <w:color w:val="auto"/>
          <w:spacing w:val="0"/>
          <w:sz w:val="28"/>
          <w:szCs w:val="28"/>
          <w:highlight w:val="none"/>
          <w:shd w:val="clear" w:fill="FFFFFF"/>
          <w:lang w:eastAsia="zh-CN"/>
        </w:rPr>
      </w:pPr>
      <w:r>
        <w:rPr>
          <w:rStyle w:val="17"/>
          <w:rFonts w:hint="eastAsia" w:ascii="宋体" w:hAnsi="宋体" w:eastAsia="宋体" w:cs="宋体"/>
          <w:b/>
          <w:i w:val="0"/>
          <w:caps w:val="0"/>
          <w:color w:val="auto"/>
          <w:spacing w:val="0"/>
          <w:sz w:val="28"/>
          <w:szCs w:val="28"/>
          <w:highlight w:val="none"/>
          <w:shd w:val="clear" w:fill="FFFFFF"/>
        </w:rPr>
        <w:t>采购人：</w:t>
      </w:r>
      <w:r>
        <w:rPr>
          <w:rStyle w:val="17"/>
          <w:rFonts w:hint="eastAsia" w:ascii="宋体" w:hAnsi="宋体" w:eastAsia="宋体" w:cs="宋体"/>
          <w:b/>
          <w:i w:val="0"/>
          <w:caps w:val="0"/>
          <w:color w:val="auto"/>
          <w:spacing w:val="0"/>
          <w:sz w:val="28"/>
          <w:szCs w:val="28"/>
          <w:highlight w:val="none"/>
          <w:shd w:val="clear" w:fill="FFFFFF"/>
          <w:lang w:eastAsia="zh-CN"/>
        </w:rPr>
        <w:t>台江区机关事务服务中心</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r>
        <w:rPr>
          <w:rStyle w:val="17"/>
          <w:rFonts w:hint="eastAsia" w:ascii="宋体" w:hAnsi="宋体" w:eastAsia="宋体" w:cs="宋体"/>
          <w:b/>
          <w:i w:val="0"/>
          <w:caps w:val="0"/>
          <w:color w:val="auto"/>
          <w:spacing w:val="0"/>
          <w:sz w:val="28"/>
          <w:szCs w:val="28"/>
          <w:highlight w:val="none"/>
          <w:shd w:val="clear" w:fill="FFFFFF"/>
        </w:rPr>
        <w:t>代理机构：</w:t>
      </w:r>
      <w:r>
        <w:rPr>
          <w:rFonts w:hint="eastAsia" w:ascii="宋体" w:hAnsi="宋体" w:eastAsia="宋体" w:cs="宋体"/>
          <w:b/>
          <w:i w:val="0"/>
          <w:caps w:val="0"/>
          <w:color w:val="auto"/>
          <w:spacing w:val="0"/>
          <w:sz w:val="28"/>
          <w:szCs w:val="28"/>
          <w:highlight w:val="none"/>
          <w:shd w:val="clear" w:fill="FFFFFF"/>
        </w:rPr>
        <w:t>福建省招标中心有限责任公司</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highlight w:val="none"/>
        </w:rPr>
      </w:pPr>
    </w:p>
    <w:p>
      <w:pPr>
        <w:pStyle w:val="12"/>
        <w:keepNext w:val="0"/>
        <w:keepLines w:val="0"/>
        <w:widowControl/>
        <w:suppressLineNumbers w:val="0"/>
        <w:shd w:val="clear" w:fill="FFFFFF"/>
        <w:spacing w:before="75" w:beforeAutospacing="0" w:after="75" w:afterAutospacing="0" w:line="360" w:lineRule="atLeast"/>
        <w:ind w:left="0" w:right="720" w:firstLine="0"/>
        <w:jc w:val="center"/>
        <w:rPr>
          <w:rFonts w:hint="eastAsia" w:ascii="宋体" w:hAnsi="宋体" w:eastAsia="宋体" w:cs="宋体"/>
          <w:i w:val="0"/>
          <w:caps w:val="0"/>
          <w:color w:val="auto"/>
          <w:spacing w:val="0"/>
          <w:sz w:val="24"/>
          <w:szCs w:val="24"/>
          <w:highlight w:val="none"/>
          <w:shd w:val="clear" w:fill="FFFFFF"/>
        </w:rPr>
      </w:pPr>
      <w:r>
        <w:rPr>
          <w:rStyle w:val="17"/>
          <w:rFonts w:hint="eastAsia" w:ascii="宋体" w:hAnsi="宋体" w:eastAsia="宋体" w:cs="宋体"/>
          <w:b/>
          <w:i w:val="0"/>
          <w:caps w:val="0"/>
          <w:color w:val="auto"/>
          <w:spacing w:val="0"/>
          <w:sz w:val="28"/>
          <w:szCs w:val="28"/>
          <w:highlight w:val="none"/>
          <w:shd w:val="clear" w:fill="FFFFFF"/>
        </w:rPr>
        <w:t>2021年</w:t>
      </w:r>
      <w:r>
        <w:rPr>
          <w:rStyle w:val="17"/>
          <w:rFonts w:hint="eastAsia" w:ascii="宋体" w:hAnsi="宋体" w:eastAsia="宋体" w:cs="宋体"/>
          <w:b/>
          <w:i w:val="0"/>
          <w:caps w:val="0"/>
          <w:color w:val="auto"/>
          <w:spacing w:val="0"/>
          <w:sz w:val="28"/>
          <w:szCs w:val="28"/>
          <w:highlight w:val="none"/>
          <w:shd w:val="clear" w:fill="FFFFFF"/>
          <w:lang w:val="en-US" w:eastAsia="zh-CN"/>
        </w:rPr>
        <w:t>9</w:t>
      </w:r>
      <w:r>
        <w:rPr>
          <w:rStyle w:val="17"/>
          <w:rFonts w:hint="eastAsia" w:ascii="宋体" w:hAnsi="宋体" w:eastAsia="宋体" w:cs="宋体"/>
          <w:b/>
          <w:i w:val="0"/>
          <w:caps w:val="0"/>
          <w:color w:val="auto"/>
          <w:spacing w:val="0"/>
          <w:sz w:val="28"/>
          <w:szCs w:val="28"/>
          <w:highlight w:val="none"/>
          <w:shd w:val="clear" w:fill="FFFFFF"/>
        </w:rPr>
        <w:t>月</w:t>
      </w:r>
      <w:r>
        <w:rPr>
          <w:rFonts w:hint="eastAsia" w:ascii="宋体" w:hAnsi="宋体" w:eastAsia="宋体" w:cs="宋体"/>
          <w:i w:val="0"/>
          <w:caps w:val="0"/>
          <w:color w:val="auto"/>
          <w:spacing w:val="0"/>
          <w:sz w:val="24"/>
          <w:szCs w:val="24"/>
          <w:highlight w:val="none"/>
          <w:shd w:val="clear" w:fill="FFFFFF"/>
        </w:rPr>
        <w:br w:type="page"/>
      </w:r>
    </w:p>
    <w:p>
      <w:pPr>
        <w:pStyle w:val="12"/>
        <w:keepNext w:val="0"/>
        <w:keepLines w:val="0"/>
        <w:widowControl/>
        <w:suppressLineNumbers w:val="0"/>
        <w:spacing w:before="75" w:beforeAutospacing="0" w:after="75" w:afterAutospacing="0"/>
        <w:ind w:left="0" w:right="0" w:firstLine="0"/>
        <w:jc w:val="center"/>
        <w:outlineLvl w:val="9"/>
        <w:rPr>
          <w:rStyle w:val="17"/>
          <w:rFonts w:hint="eastAsia" w:ascii="宋体" w:hAnsi="宋体" w:eastAsia="宋体" w:cs="宋体"/>
          <w:b/>
          <w:color w:val="auto"/>
          <w:spacing w:val="0"/>
          <w:sz w:val="31"/>
          <w:szCs w:val="31"/>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color w:val="auto"/>
          <w:kern w:val="2"/>
          <w:sz w:val="21"/>
          <w:szCs w:val="24"/>
          <w:highlight w:val="none"/>
          <w:lang w:val="en-US" w:eastAsia="zh-CN" w:bidi="ar-SA"/>
        </w:rPr>
        <w:id w:val="147467673"/>
        <w15:color w:val="DBDBDB"/>
        <w:docPartObj>
          <w:docPartGallery w:val="Table of Contents"/>
          <w:docPartUnique/>
        </w:docPartObj>
      </w:sdtPr>
      <w:sdtEndPr>
        <w:rPr>
          <w:rFonts w:hint="eastAsia" w:ascii="宋体" w:hAnsi="宋体" w:eastAsia="宋体" w:cs="宋体"/>
          <w:color w:val="auto"/>
          <w:spacing w:val="0"/>
          <w:kern w:val="0"/>
          <w:sz w:val="24"/>
          <w:szCs w:val="31"/>
          <w:highlight w:val="none"/>
          <w:lang w:val="en-US" w:eastAsia="zh-CN" w:bidi="ar"/>
        </w:rPr>
      </w:sdtEndPr>
      <w:sdtContent>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highlight w:val="none"/>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ascii="宋体" w:hAnsi="宋体" w:eastAsia="宋体"/>
              <w:color w:val="auto"/>
              <w:sz w:val="22"/>
              <w:szCs w:val="28"/>
              <w:highlight w:val="none"/>
            </w:rPr>
          </w:pPr>
          <w:r>
            <w:rPr>
              <w:rFonts w:ascii="宋体" w:hAnsi="宋体" w:eastAsia="宋体"/>
              <w:color w:val="auto"/>
              <w:sz w:val="22"/>
              <w:szCs w:val="28"/>
              <w:highlight w:val="none"/>
            </w:rPr>
            <w:t>目录</w:t>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Style w:val="17"/>
              <w:rFonts w:hint="eastAsia" w:ascii="宋体" w:hAnsi="宋体" w:eastAsia="宋体" w:cs="宋体"/>
              <w:b/>
              <w:color w:val="auto"/>
              <w:spacing w:val="0"/>
              <w:sz w:val="32"/>
              <w:szCs w:val="32"/>
              <w:highlight w:val="none"/>
            </w:rPr>
            <w:fldChar w:fldCharType="begin"/>
          </w:r>
          <w:r>
            <w:rPr>
              <w:rStyle w:val="17"/>
              <w:rFonts w:hint="eastAsia" w:ascii="宋体" w:hAnsi="宋体" w:eastAsia="宋体" w:cs="宋体"/>
              <w:b/>
              <w:color w:val="auto"/>
              <w:spacing w:val="0"/>
              <w:sz w:val="32"/>
              <w:szCs w:val="32"/>
              <w:highlight w:val="none"/>
            </w:rPr>
            <w:instrText xml:space="preserve">TOC \o "1-1" \h \u </w:instrText>
          </w:r>
          <w:r>
            <w:rPr>
              <w:rStyle w:val="17"/>
              <w:rFonts w:hint="eastAsia" w:ascii="宋体" w:hAnsi="宋体" w:eastAsia="宋体" w:cs="宋体"/>
              <w:b/>
              <w:color w:val="auto"/>
              <w:spacing w:val="0"/>
              <w:sz w:val="32"/>
              <w:szCs w:val="32"/>
              <w:highlight w:val="none"/>
            </w:rPr>
            <w:fldChar w:fldCharType="separate"/>
          </w: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_Toc11130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第一章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投标邀请</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_Toc11130 \h </w:instrText>
          </w:r>
          <w:r>
            <w:rPr>
              <w:color w:val="auto"/>
              <w:sz w:val="21"/>
              <w:szCs w:val="21"/>
              <w:highlight w:val="none"/>
            </w:rPr>
            <w:fldChar w:fldCharType="separate"/>
          </w:r>
          <w:r>
            <w:rPr>
              <w:color w:val="auto"/>
              <w:sz w:val="21"/>
              <w:szCs w:val="21"/>
              <w:highlight w:val="none"/>
            </w:rPr>
            <w:t>2</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_Toc1925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第二章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投标人须知前附表（表1、2）</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_Toc1925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_Toc31588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第三章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投标人须知</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_Toc31588 \h </w:instrText>
          </w:r>
          <w:r>
            <w:rPr>
              <w:color w:val="auto"/>
              <w:sz w:val="21"/>
              <w:szCs w:val="21"/>
              <w:highlight w:val="none"/>
            </w:rPr>
            <w:fldChar w:fldCharType="separate"/>
          </w:r>
          <w:r>
            <w:rPr>
              <w:color w:val="auto"/>
              <w:sz w:val="21"/>
              <w:szCs w:val="21"/>
              <w:highlight w:val="none"/>
            </w:rPr>
            <w:t>10</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_Toc12023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第四章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 xml:space="preserve"> </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资格审查与评标</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_Toc12023 \h </w:instrText>
          </w:r>
          <w:r>
            <w:rPr>
              <w:color w:val="auto"/>
              <w:sz w:val="21"/>
              <w:szCs w:val="21"/>
              <w:highlight w:val="none"/>
            </w:rPr>
            <w:fldChar w:fldCharType="separate"/>
          </w:r>
          <w:r>
            <w:rPr>
              <w:color w:val="auto"/>
              <w:sz w:val="21"/>
              <w:szCs w:val="21"/>
              <w:highlight w:val="none"/>
            </w:rPr>
            <w:t>22</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_Toc12574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第五章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招标内容及要求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_Toc12574 \h </w:instrText>
          </w:r>
          <w:r>
            <w:rPr>
              <w:color w:val="auto"/>
              <w:sz w:val="21"/>
              <w:szCs w:val="21"/>
              <w:highlight w:val="none"/>
            </w:rPr>
            <w:fldChar w:fldCharType="separate"/>
          </w:r>
          <w:r>
            <w:rPr>
              <w:color w:val="auto"/>
              <w:sz w:val="21"/>
              <w:szCs w:val="21"/>
              <w:highlight w:val="none"/>
            </w:rPr>
            <w:t>37</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_Toc13495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第六章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政府采购合同（参考文本）</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_Toc13495 \h </w:instrText>
          </w:r>
          <w:r>
            <w:rPr>
              <w:color w:val="auto"/>
              <w:sz w:val="21"/>
              <w:szCs w:val="21"/>
              <w:highlight w:val="none"/>
            </w:rPr>
            <w:fldChar w:fldCharType="separate"/>
          </w:r>
          <w:r>
            <w:rPr>
              <w:color w:val="auto"/>
              <w:sz w:val="21"/>
              <w:szCs w:val="21"/>
              <w:highlight w:val="none"/>
            </w:rPr>
            <w:t>50</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宋体" w:hAnsi="宋体" w:eastAsia="宋体" w:cs="宋体"/>
              <w:color w:val="auto"/>
              <w:spacing w:val="0"/>
              <w:sz w:val="21"/>
              <w:szCs w:val="32"/>
              <w:highlight w:val="none"/>
            </w:rPr>
            <w:fldChar w:fldCharType="begin"/>
          </w:r>
          <w:r>
            <w:rPr>
              <w:rFonts w:hint="eastAsia" w:ascii="宋体" w:hAnsi="宋体" w:eastAsia="宋体" w:cs="宋体"/>
              <w:color w:val="auto"/>
              <w:spacing w:val="0"/>
              <w:sz w:val="21"/>
              <w:szCs w:val="32"/>
              <w:highlight w:val="none"/>
            </w:rPr>
            <w:instrText xml:space="preserve"> HYPERLINK \l _Toc10673 </w:instrText>
          </w:r>
          <w:r>
            <w:rPr>
              <w:rFonts w:hint="eastAsia" w:ascii="宋体" w:hAnsi="宋体" w:eastAsia="宋体" w:cs="宋体"/>
              <w:color w:val="auto"/>
              <w:spacing w:val="0"/>
              <w:sz w:val="21"/>
              <w:szCs w:val="32"/>
              <w:highlight w:val="none"/>
            </w:rPr>
            <w:fldChar w:fldCharType="separate"/>
          </w:r>
          <w:r>
            <w:rPr>
              <w:rFonts w:hint="eastAsia" w:ascii="宋体" w:hAnsi="宋体" w:eastAsia="宋体" w:cs="宋体"/>
              <w:color w:val="auto"/>
              <w:spacing w:val="0"/>
              <w:sz w:val="21"/>
              <w:szCs w:val="32"/>
              <w:highlight w:val="none"/>
            </w:rPr>
            <w:t>第七章</w:t>
          </w:r>
          <w:r>
            <w:rPr>
              <w:rFonts w:hint="eastAsia" w:ascii="宋体" w:hAnsi="宋体" w:eastAsia="宋体" w:cs="宋体"/>
              <w:color w:val="auto"/>
              <w:spacing w:val="0"/>
              <w:sz w:val="21"/>
              <w:szCs w:val="32"/>
              <w:highlight w:val="none"/>
              <w:lang w:eastAsia="zh-CN"/>
            </w:rPr>
            <w:t xml:space="preserve">   </w:t>
          </w:r>
          <w:r>
            <w:rPr>
              <w:rFonts w:hint="eastAsia" w:ascii="宋体" w:hAnsi="宋体" w:eastAsia="宋体" w:cs="宋体"/>
              <w:color w:val="auto"/>
              <w:spacing w:val="0"/>
              <w:sz w:val="21"/>
              <w:szCs w:val="32"/>
              <w:highlight w:val="none"/>
            </w:rPr>
            <w:t>投标文件格式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_Toc10673 \h </w:instrText>
          </w:r>
          <w:r>
            <w:rPr>
              <w:color w:val="auto"/>
              <w:sz w:val="21"/>
              <w:szCs w:val="21"/>
              <w:highlight w:val="none"/>
            </w:rPr>
            <w:fldChar w:fldCharType="separate"/>
          </w:r>
          <w:r>
            <w:rPr>
              <w:color w:val="auto"/>
              <w:sz w:val="21"/>
              <w:szCs w:val="21"/>
              <w:highlight w:val="none"/>
            </w:rPr>
            <w:t>53</w:t>
          </w:r>
          <w:r>
            <w:rPr>
              <w:color w:val="auto"/>
              <w:sz w:val="21"/>
              <w:szCs w:val="21"/>
              <w:highlight w:val="none"/>
            </w:rPr>
            <w:fldChar w:fldCharType="end"/>
          </w:r>
          <w:r>
            <w:rPr>
              <w:rFonts w:hint="eastAsia" w:ascii="宋体" w:hAnsi="宋体" w:eastAsia="宋体" w:cs="宋体"/>
              <w:color w:val="auto"/>
              <w:spacing w:val="0"/>
              <w:sz w:val="21"/>
              <w:szCs w:val="32"/>
              <w:highlight w:val="none"/>
            </w:rPr>
            <w:fldChar w:fldCharType="end"/>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jc w:val="center"/>
            <w:textAlignment w:val="auto"/>
            <w:outlineLvl w:val="9"/>
            <w:rPr>
              <w:rStyle w:val="17"/>
              <w:rFonts w:hint="eastAsia" w:ascii="宋体" w:hAnsi="宋体" w:eastAsia="宋体" w:cs="宋体"/>
              <w:b/>
              <w:color w:val="auto"/>
              <w:spacing w:val="0"/>
              <w:sz w:val="31"/>
              <w:szCs w:val="31"/>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color w:val="auto"/>
              <w:spacing w:val="0"/>
              <w:sz w:val="28"/>
              <w:szCs w:val="32"/>
              <w:highlight w:val="none"/>
            </w:rPr>
            <w:fldChar w:fldCharType="end"/>
          </w:r>
        </w:p>
      </w:sdtContent>
    </w:sdt>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0" w:name="_Toc11130"/>
      <w:r>
        <w:rPr>
          <w:rStyle w:val="17"/>
          <w:rFonts w:hint="eastAsia" w:ascii="宋体" w:hAnsi="宋体" w:eastAsia="宋体" w:cs="宋体"/>
          <w:b/>
          <w:color w:val="auto"/>
          <w:spacing w:val="0"/>
          <w:sz w:val="31"/>
          <w:szCs w:val="31"/>
          <w:highlight w:val="none"/>
        </w:rPr>
        <w:t>第一章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投标邀请</w:t>
      </w:r>
      <w:bookmarkEnd w:id="0"/>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采用</w:t>
      </w:r>
      <w:r>
        <w:rPr>
          <w:rFonts w:hint="eastAsia" w:ascii="宋体" w:hAnsi="宋体" w:eastAsia="宋体" w:cs="宋体"/>
          <w:color w:val="auto"/>
          <w:spacing w:val="0"/>
          <w:sz w:val="24"/>
          <w:szCs w:val="24"/>
          <w:highlight w:val="none"/>
          <w:u w:val="single"/>
        </w:rPr>
        <w:t>公开招标方式</w:t>
      </w:r>
      <w:r>
        <w:rPr>
          <w:rFonts w:hint="eastAsia" w:ascii="宋体" w:hAnsi="宋体" w:eastAsia="宋体" w:cs="宋体"/>
          <w:color w:val="auto"/>
          <w:spacing w:val="0"/>
          <w:sz w:val="24"/>
          <w:szCs w:val="24"/>
          <w:highlight w:val="none"/>
        </w:rPr>
        <w:t>组织</w:t>
      </w:r>
      <w:r>
        <w:rPr>
          <w:rFonts w:hint="eastAsia" w:ascii="宋体" w:hAnsi="宋体" w:eastAsia="宋体" w:cs="宋体"/>
          <w:color w:val="auto"/>
          <w:spacing w:val="0"/>
          <w:sz w:val="24"/>
          <w:szCs w:val="24"/>
          <w:highlight w:val="none"/>
          <w:u w:val="single"/>
        </w:rPr>
        <w:t>台江区机关事务服务中心</w:t>
      </w:r>
      <w:r>
        <w:rPr>
          <w:rFonts w:hint="eastAsia" w:ascii="宋体" w:hAnsi="宋体" w:eastAsia="宋体" w:cs="宋体"/>
          <w:color w:val="auto"/>
          <w:spacing w:val="0"/>
          <w:sz w:val="24"/>
          <w:szCs w:val="24"/>
          <w:highlight w:val="none"/>
          <w:u w:val="single"/>
          <w:lang w:eastAsia="zh-CN"/>
        </w:rPr>
        <w:t>台江区文化活动中心物业管理服务</w:t>
      </w:r>
      <w:r>
        <w:rPr>
          <w:rFonts w:hint="eastAsia" w:ascii="宋体" w:hAnsi="宋体" w:eastAsia="宋体" w:cs="宋体"/>
          <w:color w:val="auto"/>
          <w:spacing w:val="0"/>
          <w:sz w:val="24"/>
          <w:szCs w:val="24"/>
          <w:highlight w:val="none"/>
          <w:u w:val="none"/>
          <w:lang w:eastAsia="zh-CN"/>
        </w:rPr>
        <w:t>项目</w:t>
      </w:r>
      <w:r>
        <w:rPr>
          <w:rFonts w:hint="eastAsia" w:ascii="宋体" w:hAnsi="宋体" w:eastAsia="宋体" w:cs="宋体"/>
          <w:color w:val="auto"/>
          <w:spacing w:val="0"/>
          <w:sz w:val="24"/>
          <w:szCs w:val="24"/>
          <w:highlight w:val="none"/>
        </w:rPr>
        <w:t>（以下简称：“本项目”）的政府采购活动，现邀请供应商参加投标。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1、备案编号：</w:t>
      </w:r>
      <w:r>
        <w:rPr>
          <w:rFonts w:hint="eastAsia" w:ascii="宋体" w:hAnsi="宋体" w:eastAsia="宋体" w:cs="宋体"/>
          <w:color w:val="auto"/>
          <w:spacing w:val="0"/>
          <w:sz w:val="24"/>
          <w:szCs w:val="24"/>
          <w:highlight w:val="none"/>
          <w:u w:val="single"/>
          <w:lang w:eastAsia="zh-CN"/>
        </w:rPr>
        <w:t>A2-350103JG-GK-202109-B2751-ZBZX</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2、招标编号：</w:t>
      </w:r>
      <w:r>
        <w:rPr>
          <w:rFonts w:hint="eastAsia" w:ascii="宋体" w:hAnsi="宋体" w:eastAsia="宋体" w:cs="宋体"/>
          <w:color w:val="auto"/>
          <w:spacing w:val="0"/>
          <w:sz w:val="24"/>
          <w:szCs w:val="24"/>
          <w:highlight w:val="none"/>
          <w:u w:val="single"/>
          <w:lang w:eastAsia="zh-CN"/>
        </w:rPr>
        <w:t>[350103]ZBZX[GK]2021002</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3、预算金额、最高限价：详见《采购标的一览表》。</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lang w:val="en-US" w:eastAsia="zh-CN"/>
        </w:rPr>
        <w:t xml:space="preserve">  </w:t>
      </w:r>
      <w:r>
        <w:rPr>
          <w:rFonts w:hint="eastAsia" w:ascii="宋体" w:hAnsi="宋体" w:eastAsia="宋体" w:cs="宋体"/>
          <w:color w:val="auto"/>
          <w:spacing w:val="0"/>
          <w:sz w:val="24"/>
          <w:szCs w:val="24"/>
          <w:highlight w:val="none"/>
        </w:rPr>
        <w:t>4、招标内容及要求：详见《采购标的一览表》及招标文件第五章。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5、需要落实的政府采购政策：进口产品，不适用于本项目。节能产品，不适用于本项目。环境标志产品，不适用于本项目。信息安全产品，不适用于本项目。小型、微型企业，适用于本项目，按（财库〔2020〕46号）文件规定。监狱企业，适用于本项目。促进残疾人就业，适用于本项目。信用记录，按照下列规定执行：通过“信用中国”网站（www.creditchina.gov.cn）、中国政府采购网（www.ccgp.gov.cn）查询</w:t>
      </w:r>
      <w:r>
        <w:rPr>
          <w:rFonts w:hint="eastAsia" w:ascii="宋体" w:hAnsi="宋体" w:eastAsia="宋体" w:cs="宋体"/>
          <w:color w:val="auto"/>
          <w:spacing w:val="0"/>
          <w:sz w:val="24"/>
          <w:szCs w:val="24"/>
          <w:highlight w:val="none"/>
          <w:lang w:val="en-US" w:eastAsia="zh-CN"/>
        </w:rPr>
        <w:t>投标人</w:t>
      </w:r>
      <w:r>
        <w:rPr>
          <w:rFonts w:hint="eastAsia" w:ascii="宋体" w:hAnsi="宋体" w:eastAsia="宋体" w:cs="宋体"/>
          <w:color w:val="auto"/>
          <w:spacing w:val="0"/>
          <w:sz w:val="24"/>
          <w:szCs w:val="24"/>
          <w:highlight w:val="none"/>
        </w:rPr>
        <w:t>信用记录</w:t>
      </w:r>
      <w:r>
        <w:rPr>
          <w:rFonts w:hint="eastAsia" w:ascii="宋体" w:hAnsi="宋体" w:eastAsia="宋体" w:cs="宋体"/>
          <w:color w:val="auto"/>
          <w:spacing w:val="0"/>
          <w:sz w:val="24"/>
          <w:szCs w:val="24"/>
          <w:highlight w:val="none"/>
          <w:lang w:eastAsia="zh-CN"/>
        </w:rPr>
        <w:t>，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w:t>
      </w:r>
      <w:r>
        <w:rPr>
          <w:rFonts w:hint="eastAsia" w:ascii="宋体" w:hAnsi="宋体" w:eastAsia="宋体" w:cs="宋体"/>
          <w:color w:val="auto"/>
          <w:spacing w:val="0"/>
          <w:sz w:val="24"/>
          <w:szCs w:val="24"/>
          <w:highlight w:val="none"/>
        </w:rPr>
        <w:t>(本文件中描述与此处不一致的，以此处为准)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6、投标人的资格要求</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6.1法定条件：符合政府采购法第二十二条第一款规定的条件。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6.2特定条件：</w:t>
      </w:r>
      <w:r>
        <w:rPr>
          <w:rFonts w:hint="eastAsia" w:ascii="宋体" w:hAnsi="宋体" w:eastAsia="宋体" w:cs="宋体"/>
          <w:color w:val="auto"/>
          <w:spacing w:val="0"/>
          <w:sz w:val="24"/>
          <w:szCs w:val="24"/>
          <w:highlight w:val="none"/>
        </w:rPr>
        <w:br w:type="textWrapping"/>
      </w:r>
      <w:r>
        <w:rPr>
          <w:rStyle w:val="17"/>
          <w:rFonts w:hint="eastAsia" w:ascii="宋体" w:hAnsi="宋体" w:eastAsia="宋体" w:cs="宋体"/>
          <w:b/>
          <w:color w:val="auto"/>
          <w:spacing w:val="0"/>
          <w:sz w:val="24"/>
          <w:szCs w:val="24"/>
          <w:highlight w:val="none"/>
        </w:rPr>
        <w:t>包：1</w:t>
      </w:r>
    </w:p>
    <w:p>
      <w:pPr>
        <w:pStyle w:val="12"/>
        <w:keepNext w:val="0"/>
        <w:keepLines w:val="0"/>
        <w:widowControl/>
        <w:suppressLineNumbers w:val="0"/>
        <w:spacing w:before="75" w:beforeAutospacing="0" w:after="75" w:afterAutospacing="0"/>
        <w:ind w:left="0" w:right="0" w:firstLine="480"/>
        <w:rPr>
          <w:color w:val="auto"/>
          <w:highlight w:val="none"/>
        </w:rPr>
      </w:pPr>
      <w:r>
        <w:rPr>
          <w:rStyle w:val="17"/>
          <w:color w:val="auto"/>
          <w:sz w:val="24"/>
          <w:szCs w:val="24"/>
          <w:highlight w:val="none"/>
        </w:rPr>
        <w:t>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6.3是否接受联合体投标：不接受。</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※根据上述资格要求，投标文件中应提交的“投标人的资格及资信证明文件”详见招标文件第四章。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7、报名</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7.1报名期限：详见招标公告或更正公告（若有），若不一致，以更正公告（若有）为准。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7"/>
          <w:rFonts w:hint="eastAsia" w:ascii="宋体" w:hAnsi="宋体" w:eastAsia="宋体" w:cs="宋体"/>
          <w:b/>
          <w:color w:val="auto"/>
          <w:spacing w:val="0"/>
          <w:sz w:val="24"/>
          <w:szCs w:val="24"/>
          <w:highlight w:val="none"/>
        </w:rPr>
        <w:t>投标将被拒绝。</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8、招标文件的获取</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8.1招标文件提供期限：详见招标公告或更正公告（若有），若不一致，以更正公告（若有）为准。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8.2获取地点及方式：报名后，通过福建省政府采购网上公开信息系统以下载方式获取。</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8.3、招标文件售价：0元。</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9、投标截止</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9.1投标截止时间：详见招标公告或更正公告（若有），若不一致，以更正公告（若有）为准。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9.2投标人应在投标截止时间前按照福建省政府采购网上公开信息系统设定的操作流程将电子投标文件上传至福建省政府采购网上公开信息系统，同时将</w:t>
      </w:r>
      <w:r>
        <w:rPr>
          <w:rStyle w:val="17"/>
          <w:rFonts w:hint="eastAsia" w:ascii="宋体" w:hAnsi="宋体" w:eastAsia="宋体" w:cs="宋体"/>
          <w:b/>
          <w:color w:val="auto"/>
          <w:spacing w:val="0"/>
          <w:sz w:val="24"/>
          <w:szCs w:val="24"/>
          <w:highlight w:val="none"/>
        </w:rPr>
        <w:t>投标人的CA证书</w:t>
      </w:r>
      <w:r>
        <w:rPr>
          <w:rFonts w:hint="eastAsia" w:ascii="宋体" w:hAnsi="宋体" w:eastAsia="宋体" w:cs="宋体"/>
          <w:color w:val="auto"/>
          <w:spacing w:val="0"/>
          <w:sz w:val="24"/>
          <w:szCs w:val="24"/>
          <w:highlight w:val="none"/>
        </w:rPr>
        <w:t>连同</w:t>
      </w:r>
      <w:r>
        <w:rPr>
          <w:rStyle w:val="17"/>
          <w:rFonts w:hint="eastAsia" w:ascii="宋体" w:hAnsi="宋体" w:eastAsia="宋体" w:cs="宋体"/>
          <w:b/>
          <w:color w:val="auto"/>
          <w:spacing w:val="0"/>
          <w:sz w:val="24"/>
          <w:szCs w:val="24"/>
          <w:highlight w:val="none"/>
        </w:rPr>
        <w:t>密封的纸质投标文件</w:t>
      </w:r>
      <w:r>
        <w:rPr>
          <w:rFonts w:hint="eastAsia" w:ascii="宋体" w:hAnsi="宋体" w:eastAsia="宋体" w:cs="宋体"/>
          <w:color w:val="auto"/>
          <w:spacing w:val="0"/>
          <w:sz w:val="24"/>
          <w:szCs w:val="24"/>
          <w:highlight w:val="none"/>
        </w:rPr>
        <w:t>送达招标文件第一章第10条载明的地点，否则</w:t>
      </w:r>
      <w:r>
        <w:rPr>
          <w:rStyle w:val="17"/>
          <w:rFonts w:hint="eastAsia" w:ascii="宋体" w:hAnsi="宋体" w:eastAsia="宋体" w:cs="宋体"/>
          <w:b/>
          <w:color w:val="auto"/>
          <w:spacing w:val="0"/>
          <w:sz w:val="24"/>
          <w:szCs w:val="24"/>
          <w:highlight w:val="none"/>
        </w:rPr>
        <w:t>投标将被拒绝。</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rPr>
        <w:t>10、开标时间及地点：详见招标公告或更正公告（若有），若不一致，以更正公告（若有）为准。</w:t>
      </w:r>
      <w:r>
        <w:rPr>
          <w:rStyle w:val="17"/>
          <w:rFonts w:hint="eastAsia" w:ascii="宋体" w:hAnsi="宋体" w:eastAsia="宋体" w:cs="宋体"/>
          <w:b/>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11、公告期限</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11.1招标公告的公告期限：自财政部和福建省财政厅指定的政府采购信息发布媒体最先发布公告之日起5个工作日。</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11.2招标文件公告期限：招标文件随同招标公告一并发布，其公告期限与本章第11.1条载明的期限保持一致。</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12、采购人：</w:t>
      </w:r>
      <w:r>
        <w:rPr>
          <w:rFonts w:hint="eastAsia" w:ascii="宋体" w:hAnsi="宋体" w:eastAsia="宋体" w:cs="宋体"/>
          <w:color w:val="auto"/>
          <w:spacing w:val="0"/>
          <w:sz w:val="24"/>
          <w:szCs w:val="24"/>
          <w:highlight w:val="none"/>
          <w:lang w:eastAsia="zh-CN"/>
        </w:rPr>
        <w:t>台江区机关事务服务中心</w:t>
      </w:r>
    </w:p>
    <w:p>
      <w:pPr>
        <w:pStyle w:val="12"/>
        <w:keepNext w:val="0"/>
        <w:keepLines w:val="0"/>
        <w:widowControl/>
        <w:suppressLineNumbers w:val="0"/>
        <w:spacing w:before="75" w:beforeAutospacing="0" w:after="75" w:afterAutospacing="0"/>
        <w:ind w:left="0" w:right="0" w:firstLine="1024" w:firstLineChars="427"/>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地址：福州台江区台江路88号</w:t>
      </w:r>
      <w:r>
        <w:rPr>
          <w:rFonts w:hint="eastAsia" w:ascii="宋体" w:hAnsi="宋体" w:eastAsia="宋体" w:cs="宋体"/>
          <w:color w:val="auto"/>
          <w:spacing w:val="0"/>
          <w:sz w:val="24"/>
          <w:szCs w:val="24"/>
          <w:highlight w:val="none"/>
          <w:lang w:val="en-US" w:eastAsia="zh-CN"/>
        </w:rPr>
        <w:t xml:space="preserve"> </w:t>
      </w:r>
    </w:p>
    <w:p>
      <w:pPr>
        <w:pStyle w:val="12"/>
        <w:keepNext w:val="0"/>
        <w:keepLines w:val="0"/>
        <w:widowControl/>
        <w:suppressLineNumbers w:val="0"/>
        <w:spacing w:before="75" w:beforeAutospacing="0" w:after="75" w:afterAutospacing="0"/>
        <w:ind w:left="0" w:right="0" w:firstLine="1024" w:firstLineChars="427"/>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联系方法：</w:t>
      </w:r>
      <w:r>
        <w:rPr>
          <w:rFonts w:hint="eastAsia" w:ascii="宋体" w:hAnsi="宋体" w:eastAsia="宋体" w:cs="宋体"/>
          <w:color w:val="auto"/>
          <w:spacing w:val="0"/>
          <w:sz w:val="24"/>
          <w:szCs w:val="24"/>
          <w:highlight w:val="none"/>
          <w:lang w:val="en-US" w:eastAsia="zh-CN"/>
        </w:rPr>
        <w:t>0591-</w:t>
      </w:r>
      <w:r>
        <w:rPr>
          <w:rFonts w:hint="eastAsia" w:ascii="宋体" w:hAnsi="宋体" w:eastAsia="宋体" w:cs="宋体"/>
          <w:color w:val="auto"/>
          <w:spacing w:val="0"/>
          <w:sz w:val="24"/>
          <w:szCs w:val="24"/>
          <w:highlight w:val="none"/>
        </w:rPr>
        <w:t>83270049</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13、代理机构：福建省招标中心有限责任公司</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地址：福州市鼓楼区洪山园路68号招标大厦C座6层</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联系方法：0591-87554218</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br w:type="page"/>
      </w:r>
    </w:p>
    <w:p>
      <w:pPr>
        <w:pStyle w:val="12"/>
        <w:keepNext w:val="0"/>
        <w:keepLines w:val="0"/>
        <w:widowControl/>
        <w:suppressLineNumbers w:val="0"/>
        <w:spacing w:before="75" w:beforeAutospacing="0" w:after="75" w:afterAutospacing="0"/>
        <w:ind w:left="0" w:right="0" w:firstLine="0"/>
        <w:outlineLvl w:val="1"/>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附1：账户信息</w:t>
      </w:r>
    </w:p>
    <w:tbl>
      <w:tblPr>
        <w:tblStyle w:val="15"/>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开户名称：</w:t>
            </w:r>
            <w:r>
              <w:rPr>
                <w:rFonts w:hint="eastAsia" w:ascii="宋体" w:hAnsi="宋体" w:eastAsia="宋体" w:cs="宋体"/>
                <w:color w:val="auto"/>
                <w:spacing w:val="0"/>
                <w:sz w:val="24"/>
                <w:szCs w:val="24"/>
                <w:highlight w:val="none"/>
                <w:u w:val="single"/>
                <w:shd w:val="clear" w:fill="FFFFFF"/>
              </w:rPr>
              <w:t>福建省招标中心有限责任公司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99" w:hRule="atLeast"/>
          <w:jc w:val="center"/>
        </w:trPr>
        <w:tc>
          <w:tcPr>
            <w:tcW w:w="9620" w:type="dxa"/>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开户银行：</w:t>
            </w:r>
            <w:r>
              <w:rPr>
                <w:rFonts w:hint="eastAsia" w:ascii="宋体" w:hAnsi="宋体" w:eastAsia="宋体" w:cs="宋体"/>
                <w:color w:val="auto"/>
                <w:spacing w:val="0"/>
                <w:sz w:val="24"/>
                <w:szCs w:val="24"/>
                <w:highlight w:val="none"/>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99" w:hRule="atLeast"/>
          <w:jc w:val="center"/>
        </w:trPr>
        <w:tc>
          <w:tcPr>
            <w:tcW w:w="9620" w:type="dxa"/>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银行账号：</w:t>
            </w:r>
            <w:r>
              <w:rPr>
                <w:rFonts w:hint="eastAsia" w:ascii="宋体" w:hAnsi="宋体" w:eastAsia="宋体" w:cs="宋体"/>
                <w:color w:val="auto"/>
                <w:spacing w:val="0"/>
                <w:sz w:val="24"/>
                <w:szCs w:val="24"/>
                <w:highlight w:val="none"/>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8" w:hRule="atLeast"/>
          <w:jc w:val="center"/>
        </w:trPr>
        <w:tc>
          <w:tcPr>
            <w:tcW w:w="9620" w:type="dxa"/>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1、投标人应认真核对账户信息，将投标保证金汇入以上账户，并自行承担因汇错投标保证金而产生的一切后果。</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2、投标人在转账或电汇的凭证上应按照以下格式注明，以便核对：“（招标编号：***、合同包：***）的投标保证金”。</w:t>
            </w:r>
          </w:p>
        </w:tc>
      </w:tr>
    </w:tbl>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p>
    <w:p>
      <w:pPr>
        <w:pStyle w:val="12"/>
        <w:keepNext w:val="0"/>
        <w:keepLines w:val="0"/>
        <w:widowControl/>
        <w:suppressLineNumbers w:val="0"/>
        <w:spacing w:before="75" w:beforeAutospacing="0" w:after="75" w:afterAutospacing="0"/>
        <w:ind w:left="0" w:right="0" w:firstLine="0"/>
        <w:outlineLvl w:val="1"/>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附2：采购标的一览表</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highlight w:val="none"/>
        </w:rPr>
        <w:t>金额单位：人民币元</w:t>
      </w:r>
    </w:p>
    <w:tbl>
      <w:tblPr>
        <w:tblStyle w:val="15"/>
        <w:tblW w:w="95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07"/>
        <w:gridCol w:w="882"/>
        <w:gridCol w:w="1500"/>
        <w:gridCol w:w="1033"/>
        <w:gridCol w:w="1000"/>
        <w:gridCol w:w="1734"/>
        <w:gridCol w:w="1337"/>
        <w:gridCol w:w="10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5" w:hRule="atLeast"/>
          <w:tblHeader/>
          <w:jc w:val="center"/>
        </w:trPr>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合同包</w:t>
            </w:r>
          </w:p>
        </w:tc>
        <w:tc>
          <w:tcPr>
            <w:tcW w:w="88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品目号</w:t>
            </w:r>
          </w:p>
        </w:tc>
        <w:tc>
          <w:tcPr>
            <w:tcW w:w="15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采购标的</w:t>
            </w:r>
          </w:p>
        </w:tc>
        <w:tc>
          <w:tcPr>
            <w:tcW w:w="10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允许进口</w:t>
            </w:r>
          </w:p>
        </w:tc>
        <w:tc>
          <w:tcPr>
            <w:tcW w:w="10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数量</w:t>
            </w:r>
          </w:p>
        </w:tc>
        <w:tc>
          <w:tcPr>
            <w:tcW w:w="173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品目号预算</w:t>
            </w:r>
          </w:p>
        </w:tc>
        <w:tc>
          <w:tcPr>
            <w:tcW w:w="13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合同包预算</w:t>
            </w:r>
          </w:p>
        </w:tc>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w:t>
            </w:r>
          </w:p>
        </w:tc>
        <w:tc>
          <w:tcPr>
            <w:tcW w:w="6149"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5"/>
              <w:tblW w:w="6040"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1"/>
              <w:gridCol w:w="1524"/>
              <w:gridCol w:w="1060"/>
              <w:gridCol w:w="950"/>
              <w:gridCol w:w="1695"/>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jc w:val="center"/>
              </w:trPr>
              <w:tc>
                <w:tcPr>
                  <w:tcW w:w="81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1-1</w:t>
                  </w:r>
                </w:p>
              </w:tc>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物业管理服务</w:t>
                  </w:r>
                </w:p>
              </w:tc>
              <w:tc>
                <w:tcPr>
                  <w:tcW w:w="1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否</w:t>
                  </w:r>
                </w:p>
              </w:tc>
              <w:tc>
                <w:tcPr>
                  <w:tcW w:w="9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1（项）</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7650000</w:t>
                  </w:r>
                </w:p>
              </w:tc>
            </w:tr>
          </w:tbl>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p>
        </w:tc>
        <w:tc>
          <w:tcPr>
            <w:tcW w:w="13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7650000</w:t>
            </w:r>
          </w:p>
        </w:tc>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150000</w:t>
            </w:r>
          </w:p>
        </w:tc>
      </w:tr>
    </w:tbl>
    <w:p>
      <w:pPr>
        <w:pStyle w:val="12"/>
        <w:keepNext w:val="0"/>
        <w:keepLines w:val="0"/>
        <w:widowControl/>
        <w:suppressLineNumbers w:val="0"/>
        <w:spacing w:before="75" w:beforeAutospacing="0" w:after="75" w:afterAutospacing="0"/>
        <w:ind w:left="0" w:right="0" w:firstLine="0"/>
        <w:jc w:val="center"/>
        <w:rPr>
          <w:rStyle w:val="17"/>
          <w:rFonts w:hint="eastAsia" w:ascii="宋体" w:hAnsi="宋体" w:eastAsia="宋体" w:cs="宋体"/>
          <w:b/>
          <w:color w:val="auto"/>
          <w:spacing w:val="0"/>
          <w:sz w:val="31"/>
          <w:szCs w:val="31"/>
          <w:highlight w:val="none"/>
        </w:rPr>
      </w:pPr>
      <w:r>
        <w:rPr>
          <w:rStyle w:val="17"/>
          <w:rFonts w:hint="eastAsia" w:ascii="宋体" w:hAnsi="宋体" w:eastAsia="宋体" w:cs="宋体"/>
          <w:b/>
          <w:color w:val="auto"/>
          <w:spacing w:val="0"/>
          <w:sz w:val="31"/>
          <w:szCs w:val="31"/>
          <w:highlight w:val="none"/>
        </w:rPr>
        <w:br w:type="page"/>
      </w:r>
    </w:p>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1" w:name="_Toc1925"/>
      <w:r>
        <w:rPr>
          <w:rStyle w:val="17"/>
          <w:rFonts w:hint="eastAsia" w:ascii="宋体" w:hAnsi="宋体" w:eastAsia="宋体" w:cs="宋体"/>
          <w:b/>
          <w:color w:val="auto"/>
          <w:spacing w:val="0"/>
          <w:sz w:val="31"/>
          <w:szCs w:val="31"/>
          <w:highlight w:val="none"/>
        </w:rPr>
        <w:t>第二章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投标人须知前附表（表1、2）</w:t>
      </w:r>
      <w:bookmarkEnd w:id="1"/>
    </w:p>
    <w:p>
      <w:pPr>
        <w:pStyle w:val="12"/>
        <w:keepNext w:val="0"/>
        <w:keepLines w:val="0"/>
        <w:widowControl/>
        <w:suppressLineNumbers w:val="0"/>
        <w:spacing w:before="75" w:beforeAutospacing="0" w:after="75" w:afterAutospacing="0"/>
        <w:ind w:left="0" w:right="0" w:firstLine="0"/>
        <w:outlineLvl w:val="1"/>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表1</w:t>
      </w:r>
    </w:p>
    <w:tbl>
      <w:tblPr>
        <w:tblStyle w:val="1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97"/>
        <w:gridCol w:w="1382"/>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516" w:type="dxa"/>
            <w:gridSpan w:val="3"/>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项号</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招标文件</w:t>
            </w:r>
          </w:p>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（第三章）</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leftChars="0" w:right="0" w:rightChars="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是否组织现场考察或召开开标前答疑会：</w:t>
            </w:r>
            <w:r>
              <w:rPr>
                <w:rStyle w:val="17"/>
                <w:rFonts w:hint="eastAsia" w:ascii="宋体" w:hAnsi="宋体" w:eastAsia="宋体" w:cs="宋体"/>
                <w:b w:val="0"/>
                <w:bCs/>
                <w:color w:val="auto"/>
                <w:spacing w:val="0"/>
                <w:sz w:val="24"/>
                <w:szCs w:val="24"/>
                <w:highlight w:val="none"/>
                <w:lang w:eastAsia="zh-CN"/>
              </w:rPr>
              <w:t>（</w:t>
            </w:r>
            <w:r>
              <w:rPr>
                <w:rStyle w:val="17"/>
                <w:rFonts w:hint="eastAsia" w:ascii="宋体" w:hAnsi="宋体" w:eastAsia="宋体" w:cs="宋体"/>
                <w:b w:val="0"/>
                <w:bCs/>
                <w:color w:val="auto"/>
                <w:spacing w:val="0"/>
                <w:sz w:val="24"/>
                <w:szCs w:val="24"/>
                <w:highlight w:val="none"/>
                <w:lang w:val="en-US" w:eastAsia="zh-CN"/>
              </w:rPr>
              <w:t>1</w:t>
            </w:r>
            <w:r>
              <w:rPr>
                <w:rStyle w:val="17"/>
                <w:rFonts w:hint="eastAsia" w:ascii="宋体" w:hAnsi="宋体" w:eastAsia="宋体" w:cs="宋体"/>
                <w:b w:val="0"/>
                <w:bCs/>
                <w:color w:val="auto"/>
                <w:spacing w:val="0"/>
                <w:sz w:val="24"/>
                <w:szCs w:val="24"/>
                <w:highlight w:val="none"/>
                <w:lang w:eastAsia="zh-CN"/>
              </w:rPr>
              <w:t>）</w:t>
            </w:r>
            <w:r>
              <w:rPr>
                <w:rFonts w:ascii="宋体" w:hAnsi="宋体" w:eastAsia="宋体" w:cs="宋体"/>
                <w:b w:val="0"/>
                <w:bCs/>
                <w:color w:val="auto"/>
                <w:spacing w:val="0"/>
                <w:sz w:val="24"/>
                <w:szCs w:val="24"/>
                <w:highlight w:val="none"/>
              </w:rPr>
              <w:t>为了确保各投标人真正了解对项目情况，投标人</w:t>
            </w:r>
            <w:r>
              <w:rPr>
                <w:rFonts w:hint="eastAsia" w:ascii="宋体" w:hAnsi="宋体" w:eastAsia="宋体" w:cs="宋体"/>
                <w:b w:val="0"/>
                <w:bCs/>
                <w:color w:val="auto"/>
                <w:spacing w:val="0"/>
                <w:sz w:val="24"/>
                <w:szCs w:val="24"/>
                <w:highlight w:val="none"/>
                <w:lang w:val="en-US" w:eastAsia="zh-CN"/>
              </w:rPr>
              <w:t>自行</w:t>
            </w:r>
            <w:r>
              <w:rPr>
                <w:rFonts w:ascii="宋体" w:hAnsi="宋体" w:eastAsia="宋体" w:cs="宋体"/>
                <w:b w:val="0"/>
                <w:bCs/>
                <w:color w:val="auto"/>
                <w:spacing w:val="0"/>
                <w:sz w:val="24"/>
                <w:szCs w:val="24"/>
                <w:highlight w:val="none"/>
              </w:rPr>
              <w:t>对本项目的服务地点进行实地踏勘。现场勘查时间：报名截止时间后的第一个工作日和第二个工作日的9:00-17:00(逾期不予以接待)。</w:t>
            </w:r>
            <w:r>
              <w:rPr>
                <w:rFonts w:hint="eastAsia" w:ascii="宋体" w:hAnsi="宋体" w:eastAsia="宋体" w:cs="宋体"/>
                <w:b w:val="0"/>
                <w:bCs/>
                <w:color w:val="auto"/>
                <w:spacing w:val="0"/>
                <w:sz w:val="24"/>
                <w:szCs w:val="24"/>
                <w:highlight w:val="none"/>
                <w:lang w:eastAsia="zh-CN"/>
              </w:rPr>
              <w:t>（</w:t>
            </w:r>
            <w:r>
              <w:rPr>
                <w:rFonts w:hint="eastAsia" w:ascii="宋体" w:hAnsi="宋体" w:eastAsia="宋体" w:cs="宋体"/>
                <w:b w:val="0"/>
                <w:bCs/>
                <w:color w:val="auto"/>
                <w:spacing w:val="0"/>
                <w:sz w:val="24"/>
                <w:szCs w:val="24"/>
                <w:highlight w:val="none"/>
                <w:lang w:val="en-US" w:eastAsia="zh-CN"/>
              </w:rPr>
              <w:t>2</w:t>
            </w:r>
            <w:r>
              <w:rPr>
                <w:rFonts w:hint="eastAsia" w:ascii="宋体" w:hAnsi="宋体" w:eastAsia="宋体" w:cs="宋体"/>
                <w:b w:val="0"/>
                <w:bCs/>
                <w:color w:val="auto"/>
                <w:spacing w:val="0"/>
                <w:sz w:val="24"/>
                <w:szCs w:val="24"/>
                <w:highlight w:val="none"/>
                <w:lang w:eastAsia="zh-CN"/>
              </w:rPr>
              <w:t>）</w:t>
            </w:r>
            <w:r>
              <w:rPr>
                <w:rFonts w:ascii="宋体" w:hAnsi="宋体" w:eastAsia="宋体" w:cs="宋体"/>
                <w:b w:val="0"/>
                <w:bCs/>
                <w:color w:val="auto"/>
                <w:spacing w:val="0"/>
                <w:sz w:val="24"/>
                <w:szCs w:val="24"/>
                <w:highlight w:val="none"/>
              </w:rPr>
              <w:t>投标人进行现场勘察时应随带的资料：福建省政府采购网上公开信息系统报名成功页面截图、现场勘查</w:t>
            </w:r>
            <w:r>
              <w:rPr>
                <w:rFonts w:hint="eastAsia" w:ascii="宋体" w:hAnsi="宋体" w:eastAsia="宋体" w:cs="宋体"/>
                <w:b w:val="0"/>
                <w:bCs/>
                <w:color w:val="auto"/>
                <w:spacing w:val="0"/>
                <w:sz w:val="24"/>
                <w:szCs w:val="24"/>
                <w:highlight w:val="none"/>
                <w:lang w:val="en-US" w:eastAsia="zh-CN"/>
              </w:rPr>
              <w:t>介绍信</w:t>
            </w:r>
            <w:r>
              <w:rPr>
                <w:rFonts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eastAsia="zh-CN"/>
              </w:rPr>
              <w:t>（</w:t>
            </w:r>
            <w:r>
              <w:rPr>
                <w:rFonts w:hint="eastAsia" w:ascii="宋体" w:hAnsi="宋体" w:eastAsia="宋体" w:cs="宋体"/>
                <w:b w:val="0"/>
                <w:bCs/>
                <w:color w:val="auto"/>
                <w:spacing w:val="0"/>
                <w:sz w:val="24"/>
                <w:szCs w:val="24"/>
                <w:highlight w:val="none"/>
                <w:lang w:val="en-US" w:eastAsia="zh-CN"/>
              </w:rPr>
              <w:t>3</w:t>
            </w:r>
            <w:r>
              <w:rPr>
                <w:rFonts w:hint="eastAsia" w:ascii="宋体" w:hAnsi="宋体" w:eastAsia="宋体" w:cs="宋体"/>
                <w:b w:val="0"/>
                <w:bCs/>
                <w:color w:val="auto"/>
                <w:spacing w:val="0"/>
                <w:sz w:val="24"/>
                <w:szCs w:val="24"/>
                <w:highlight w:val="none"/>
                <w:lang w:eastAsia="zh-CN"/>
              </w:rPr>
              <w:t>）</w:t>
            </w:r>
            <w:r>
              <w:rPr>
                <w:rFonts w:ascii="宋体" w:hAnsi="宋体" w:eastAsia="宋体" w:cs="宋体"/>
                <w:b w:val="0"/>
                <w:bCs/>
                <w:color w:val="auto"/>
                <w:spacing w:val="0"/>
                <w:sz w:val="24"/>
                <w:szCs w:val="24"/>
                <w:highlight w:val="none"/>
              </w:rPr>
              <w:t>联系人：郑振营，联系电话：13609516731。</w:t>
            </w:r>
            <w:r>
              <w:rPr>
                <w:rStyle w:val="17"/>
                <w:rFonts w:hint="eastAsia" w:ascii="宋体" w:hAnsi="宋体" w:eastAsia="宋体" w:cs="宋体"/>
                <w:b w:val="0"/>
                <w:bCs/>
                <w:color w:val="auto"/>
                <w:spacing w:val="0"/>
                <w:sz w:val="24"/>
                <w:szCs w:val="24"/>
                <w:highlight w:val="none"/>
                <w:lang w:val="en-US" w:eastAsia="zh-CN"/>
              </w:rPr>
              <w:t>（4）投标人踏勘现场发生的费用自理。（5）除招标人的原因外，投标人自行负责在踏勘现场中所发生的人员伤亡和财产损失。（6）招标人在踏勘现场中介绍的场地和相关的周边环境情况，仅供投标人在编制投标文件时参考，招标人不对投标人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10.4</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投标文件的份数：</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（1）纸质投标文件：</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①资格及资信证明部分的正本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份，报价部分的正本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lang w:val="en-US" w:eastAsia="zh-CN"/>
              </w:rPr>
              <w:t>1</w:t>
            </w:r>
            <w:r>
              <w:rPr>
                <w:rFonts w:hint="eastAsia" w:ascii="宋体" w:hAnsi="宋体" w:eastAsia="宋体" w:cs="宋体"/>
                <w:color w:val="auto"/>
                <w:spacing w:val="0"/>
                <w:sz w:val="24"/>
                <w:szCs w:val="24"/>
                <w:highlight w:val="none"/>
              </w:rPr>
              <w:t>份，技术商务部分的正本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lang w:val="en-US" w:eastAsia="zh-CN"/>
              </w:rPr>
              <w:t>1</w:t>
            </w:r>
            <w:r>
              <w:rPr>
                <w:rFonts w:hint="eastAsia" w:ascii="宋体" w:hAnsi="宋体" w:eastAsia="宋体" w:cs="宋体"/>
                <w:color w:val="auto"/>
                <w:spacing w:val="0"/>
                <w:sz w:val="24"/>
                <w:szCs w:val="24"/>
                <w:highlight w:val="none"/>
              </w:rPr>
              <w:t>份。</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②可读介质（光盘或U盘）</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份：投标人应将其上传至福建省政府采购网上公开信息系统的电子投标文件在该可读介质中另存</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10.5-（2）-③</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允许散装或活页装订的内容或材料：</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（1）投标文件的补充、修改或撤回；</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10.7-（1）</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是否允许中标人将本项目的非主体、非关键性工作进行分包：</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10.8-（1）</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投标有效期</w:t>
            </w:r>
            <w:r>
              <w:rPr>
                <w:rFonts w:hint="eastAsia" w:ascii="宋体" w:hAnsi="宋体" w:eastAsia="宋体" w:cs="宋体"/>
                <w:color w:val="auto"/>
                <w:spacing w:val="0"/>
                <w:sz w:val="24"/>
                <w:szCs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10.10-（2）</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密封及其标记的具体形式：</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（1）全部纸质投标文件（包括正本、副本及可读介质）均应密封，否则</w:t>
            </w:r>
            <w:r>
              <w:rPr>
                <w:rStyle w:val="17"/>
                <w:rFonts w:hint="eastAsia" w:ascii="宋体" w:hAnsi="宋体" w:eastAsia="宋体" w:cs="宋体"/>
                <w:b/>
                <w:color w:val="auto"/>
                <w:spacing w:val="0"/>
                <w:sz w:val="24"/>
                <w:szCs w:val="24"/>
                <w:highlight w:val="none"/>
              </w:rPr>
              <w:t>投标将被拒绝。</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不承担责任。</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12.1</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8</w:t>
            </w:r>
          </w:p>
        </w:tc>
        <w:tc>
          <w:tcPr>
            <w:tcW w:w="1382" w:type="dxa"/>
            <w:shd w:val="clear" w:color="auto" w:fill="auto"/>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12.2</w:t>
            </w:r>
          </w:p>
        </w:tc>
        <w:tc>
          <w:tcPr>
            <w:tcW w:w="6537" w:type="dxa"/>
            <w:shd w:val="clear" w:color="auto" w:fill="auto"/>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本项目中标人的确定（以合同包为单位）：</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（1）采购人应在政府采购招投标管理办法规定的时限内确定中标人。</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（2）若出现中标候选人并列情形，则按照下列方式确定中标人：</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①招标文件规定的方式：无。</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②若本款第①点规定方式为“无”，则按照下列方式确定：无。</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③若本款第①、②点规定方式均为“无”，则按照下列方式确定：随机抽取。</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（3）本项目确定的中标人家数：</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①本项目确定合同包1中标人数为1家；</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15.1-（2）</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质疑函原件应采用下列方式提交：</w:t>
            </w:r>
            <w:r>
              <w:rPr>
                <w:rFonts w:hint="eastAsia" w:ascii="宋体" w:hAnsi="宋体" w:eastAsia="宋体" w:cs="宋体"/>
                <w:color w:val="auto"/>
                <w:spacing w:val="0"/>
                <w:sz w:val="24"/>
                <w:szCs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15.4</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招标文件的质疑</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（1）潜在投标人可在质疑时效期间内对招标文件以书面形式提出质疑。</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（2）质疑时效期间：</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①在招标文件公告期限内：自招标文件首次下载之日起7个工作日内向</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提出，招标文件公告期限、首次下载之日均以福建省政府采购网上公开信息系统记载的为准。</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②在招标文件公告期限截止后至招标文件提供期限届满前的期间内：自招标文件公告期限届满之日起7个工作日内向</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提出，招标文件公告期限、招标文件提供期限均以福建省政府采购网上公开信息系统记载的为准。</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16.1</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监督管理部门：</w:t>
            </w:r>
            <w:r>
              <w:rPr>
                <w:rFonts w:hint="eastAsia" w:ascii="宋体" w:hAnsi="宋体" w:eastAsia="宋体" w:cs="宋体"/>
                <w:color w:val="auto"/>
                <w:spacing w:val="0"/>
                <w:sz w:val="24"/>
                <w:szCs w:val="24"/>
                <w:highlight w:val="none"/>
              </w:rPr>
              <w:t>福州市台江区财政局</w:t>
            </w:r>
            <w:r>
              <w:rPr>
                <w:rStyle w:val="17"/>
                <w:rFonts w:hint="eastAsia" w:ascii="宋体" w:hAnsi="宋体" w:eastAsia="宋体" w:cs="宋体"/>
                <w:b/>
                <w:color w:val="auto"/>
                <w:spacing w:val="0"/>
                <w:sz w:val="24"/>
                <w:szCs w:val="24"/>
                <w:highlight w:val="none"/>
                <w:u w:val="none"/>
              </w:rPr>
              <w:t>（仅限依法进行政府采购的货物或服务类项目）</w:t>
            </w:r>
            <w:r>
              <w:rPr>
                <w:rFonts w:hint="eastAsia" w:ascii="宋体" w:hAnsi="宋体" w:eastAsia="宋体" w:cs="宋体"/>
                <w:color w:val="auto"/>
                <w:spacing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18.1</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财政部和福建省财政厅指定的政府采购信息发布媒体（以下简称：“指定媒体”）：</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（1）中国政府采购网，网址www.ccgp.gov.cn</w:t>
            </w:r>
            <w:r>
              <w:rPr>
                <w:rFonts w:hint="eastAsia" w:ascii="宋体" w:hAnsi="宋体" w:eastAsia="宋体" w:cs="宋体"/>
                <w:color w:val="auto"/>
                <w:highlight w:val="none"/>
              </w:rPr>
              <w:t>。</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（2）中国政府采购网福建分网（福建省政府采购网），网址zfcg.czt.fujian.gov.cn</w:t>
            </w:r>
            <w:r>
              <w:rPr>
                <w:rFonts w:hint="eastAsia" w:ascii="宋体" w:hAnsi="宋体" w:eastAsia="宋体" w:cs="宋体"/>
                <w:color w:val="auto"/>
                <w:highlight w:val="none"/>
              </w:rPr>
              <w:t>。</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w:t>
            </w:r>
          </w:p>
        </w:tc>
        <w:tc>
          <w:tcPr>
            <w:tcW w:w="1382"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19</w:t>
            </w:r>
          </w:p>
        </w:tc>
        <w:tc>
          <w:tcPr>
            <w:tcW w:w="653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其他事项：</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(1)本项目代理服务费由</w:t>
            </w:r>
            <w:r>
              <w:rPr>
                <w:rFonts w:hint="eastAsia" w:ascii="宋体" w:hAnsi="宋体" w:eastAsia="宋体" w:cs="宋体"/>
                <w:b/>
                <w:color w:val="auto"/>
                <w:spacing w:val="0"/>
                <w:sz w:val="24"/>
                <w:szCs w:val="24"/>
                <w:highlight w:val="none"/>
              </w:rPr>
              <w:t>中标人</w:t>
            </w:r>
            <w:r>
              <w:rPr>
                <w:rStyle w:val="17"/>
                <w:rFonts w:hint="eastAsia" w:ascii="宋体" w:hAnsi="宋体" w:eastAsia="宋体" w:cs="宋体"/>
                <w:b/>
                <w:color w:val="auto"/>
                <w:spacing w:val="0"/>
                <w:sz w:val="24"/>
                <w:szCs w:val="24"/>
                <w:highlight w:val="none"/>
              </w:rPr>
              <w:t>支付。</w:t>
            </w:r>
            <w:r>
              <w:rPr>
                <w:rStyle w:val="17"/>
                <w:rFonts w:hint="eastAsia" w:ascii="宋体" w:hAnsi="宋体" w:eastAsia="宋体" w:cs="宋体"/>
                <w:b/>
                <w:color w:val="auto"/>
                <w:spacing w:val="0"/>
                <w:sz w:val="24"/>
                <w:szCs w:val="24"/>
                <w:highlight w:val="none"/>
              </w:rPr>
              <w:br w:type="textWrapping"/>
            </w:r>
            <w:r>
              <w:rPr>
                <w:rStyle w:val="17"/>
                <w:rFonts w:hint="eastAsia" w:ascii="宋体" w:hAnsi="宋体" w:eastAsia="宋体" w:cs="宋体"/>
                <w:b/>
                <w:color w:val="auto"/>
                <w:spacing w:val="0"/>
                <w:sz w:val="24"/>
                <w:szCs w:val="24"/>
                <w:highlight w:val="none"/>
              </w:rPr>
              <w:t>(2)其他：</w:t>
            </w:r>
            <w:r>
              <w:rPr>
                <w:rFonts w:hint="eastAsia" w:ascii="宋体" w:hAnsi="宋体" w:eastAsia="宋体" w:cs="宋体"/>
                <w:b/>
                <w:color w:val="auto"/>
                <w:spacing w:val="0"/>
                <w:sz w:val="24"/>
                <w:szCs w:val="24"/>
                <w:highlight w:val="none"/>
              </w:rPr>
              <w:t>①本项目的招标代理服务费由中标人支付。招标服务费按照合同包中标金额以差额定率累进法计算。具体收费标准：中标金额为0-100万（含）以下部分的按1.5%；中标金额为100-500万部分的按0.8%；500万</w:t>
            </w:r>
            <w:r>
              <w:rPr>
                <w:rFonts w:hint="eastAsia" w:ascii="宋体" w:hAnsi="宋体" w:eastAsia="宋体" w:cs="宋体"/>
                <w:b/>
                <w:color w:val="auto"/>
                <w:spacing w:val="0"/>
                <w:sz w:val="24"/>
                <w:szCs w:val="24"/>
                <w:highlight w:val="none"/>
                <w:lang w:val="en-US" w:eastAsia="zh-CN"/>
              </w:rPr>
              <w:t>以上</w:t>
            </w:r>
            <w:r>
              <w:rPr>
                <w:rFonts w:hint="eastAsia" w:ascii="宋体" w:hAnsi="宋体" w:eastAsia="宋体" w:cs="宋体"/>
                <w:b/>
                <w:color w:val="auto"/>
                <w:spacing w:val="0"/>
                <w:sz w:val="24"/>
                <w:szCs w:val="24"/>
                <w:highlight w:val="none"/>
              </w:rPr>
              <w:t>部分按0.45%累进收取</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中标人应在领取中标通知书前以转帐、电汇付款方式一次性向采购代理机构缴纳招标代理服务费。服务费缴纳账户信息：【开户名：福建省招标中心有限责任公司；开户行：兴业银行福州西门支行；账号：118080100100104492】。②根据《财政部、工业和信息化部关于印发&lt;政府采购促进中小企业发展管理办法&gt;的通知》（财库〔2020〕46号）的文件规定，招标文件中相关条款若与上述文件有冲突的，以《政府采购促进中小企业发展管理办法》（财库〔2020〕46号）文件规定为准。</w:t>
            </w:r>
            <w:r>
              <w:rPr>
                <w:rFonts w:hint="default" w:ascii="宋体" w:hAnsi="宋体" w:eastAsia="宋体" w:cs="宋体"/>
                <w:b/>
                <w:color w:val="auto"/>
                <w:spacing w:val="0"/>
                <w:sz w:val="24"/>
                <w:szCs w:val="24"/>
                <w:highlight w:val="none"/>
              </w:rPr>
              <w:t>③</w:t>
            </w:r>
            <w:r>
              <w:rPr>
                <w:rFonts w:hint="eastAsia" w:ascii="宋体" w:hAnsi="宋体" w:eastAsia="宋体" w:cs="宋体"/>
                <w:b/>
                <w:color w:val="auto"/>
                <w:spacing w:val="0"/>
                <w:sz w:val="24"/>
                <w:szCs w:val="24"/>
                <w:highlight w:val="none"/>
              </w:rPr>
              <w:t xml:space="preserve">若因投标人自身原因导致其电子投标文件无法解密的，视为无效投标。④供应商认为采购文件、采购过程、中标或者成交结果使自己的权益受到损害的，可以在知道或者应知其权益受到损害之日起7个工作日内，以书面形式向采购人、采购代理机构提出质疑。针对同一采购程序环节的质疑应在政府采购法及实施条例规定的时限内一次性提出。提出质疑的供应商（以下简称质疑供应商）应当是参与所质疑项目采购活动的供应商。潜在供应商已依法获取其可质疑的采购文件的，可以对该文件提出质疑。对采购文件提出质疑的，应当在获取采购文件或者采购文件公告期限届满之日起7个工作日内提出。若质疑的具体事项按照有关法律、法规和规章规定处于保密阶段，则应提供信息或证明材料为合法或公开渠道获得的有效证据（若证据无法有效表明信息或证明材料为合法或公开渠道获得，则前述信息或证明材料视为无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979" w:type="dxa"/>
            <w:gridSpan w:val="2"/>
            <w:shd w:val="clear" w:color="auto" w:fill="auto"/>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备注</w:t>
            </w:r>
          </w:p>
        </w:tc>
        <w:tc>
          <w:tcPr>
            <w:tcW w:w="6537" w:type="dxa"/>
            <w:shd w:val="clear" w:color="auto" w:fill="auto"/>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后有表2，请勿遗漏。</w:t>
            </w:r>
          </w:p>
        </w:tc>
      </w:tr>
    </w:tbl>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outlineLvl w:val="1"/>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表2</w:t>
      </w:r>
    </w:p>
    <w:tbl>
      <w:tblPr>
        <w:tblStyle w:val="15"/>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58"/>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515" w:type="dxa"/>
            <w:gridSpan w:val="2"/>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58"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序号</w:t>
            </w:r>
          </w:p>
        </w:tc>
        <w:tc>
          <w:tcPr>
            <w:tcW w:w="775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58"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w:t>
            </w:r>
          </w:p>
        </w:tc>
        <w:tc>
          <w:tcPr>
            <w:tcW w:w="7757" w:type="dxa"/>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（1）招标文件中除下述第（2）、（3）款所述内容外的其他内容及规定适用本项目的电子招标投标活动。</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（2）将招标文件</w:t>
            </w:r>
            <w:r>
              <w:rPr>
                <w:rFonts w:hint="eastAsia" w:ascii="宋体" w:hAnsi="宋体" w:eastAsia="宋体" w:cs="宋体"/>
                <w:color w:val="auto"/>
                <w:spacing w:val="0"/>
                <w:sz w:val="24"/>
                <w:szCs w:val="24"/>
                <w:highlight w:val="none"/>
                <w:u w:val="single"/>
              </w:rPr>
              <w:t>无</w:t>
            </w:r>
            <w:r>
              <w:rPr>
                <w:rFonts w:hint="eastAsia" w:ascii="宋体" w:hAnsi="宋体" w:eastAsia="宋体" w:cs="宋体"/>
                <w:color w:val="auto"/>
                <w:spacing w:val="0"/>
                <w:sz w:val="24"/>
                <w:szCs w:val="24"/>
                <w:highlight w:val="none"/>
              </w:rPr>
              <w:t>的内容</w:t>
            </w:r>
            <w:r>
              <w:rPr>
                <w:rStyle w:val="17"/>
                <w:rFonts w:hint="eastAsia" w:ascii="宋体" w:hAnsi="宋体" w:eastAsia="宋体" w:cs="宋体"/>
                <w:b/>
                <w:color w:val="auto"/>
                <w:spacing w:val="0"/>
                <w:sz w:val="24"/>
                <w:szCs w:val="24"/>
                <w:highlight w:val="none"/>
              </w:rPr>
              <w:t>修正为</w:t>
            </w:r>
            <w:r>
              <w:rPr>
                <w:rFonts w:hint="eastAsia" w:ascii="宋体" w:hAnsi="宋体" w:eastAsia="宋体" w:cs="宋体"/>
                <w:color w:val="auto"/>
                <w:spacing w:val="0"/>
                <w:sz w:val="24"/>
                <w:szCs w:val="24"/>
                <w:highlight w:val="none"/>
              </w:rPr>
              <w:t>下列内容：</w:t>
            </w:r>
            <w:r>
              <w:rPr>
                <w:rFonts w:hint="eastAsia" w:ascii="宋体" w:hAnsi="宋体" w:eastAsia="宋体" w:cs="宋体"/>
                <w:color w:val="auto"/>
                <w:spacing w:val="0"/>
                <w:sz w:val="24"/>
                <w:szCs w:val="24"/>
                <w:highlight w:val="none"/>
                <w:u w:val="single"/>
              </w:rPr>
              <w:t>无</w:t>
            </w:r>
            <w:r>
              <w:rPr>
                <w:rFonts w:hint="eastAsia" w:ascii="宋体" w:hAnsi="宋体" w:eastAsia="宋体" w:cs="宋体"/>
                <w:color w:val="auto"/>
                <w:spacing w:val="0"/>
                <w:sz w:val="24"/>
                <w:szCs w:val="24"/>
                <w:highlight w:val="none"/>
              </w:rPr>
              <w:t>后适用本项目的电子招标投标活动。</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（3）将下列内容</w:t>
            </w:r>
            <w:r>
              <w:rPr>
                <w:rStyle w:val="17"/>
                <w:rFonts w:hint="eastAsia" w:ascii="宋体" w:hAnsi="宋体" w:eastAsia="宋体" w:cs="宋体"/>
                <w:b/>
                <w:color w:val="auto"/>
                <w:spacing w:val="0"/>
                <w:sz w:val="24"/>
                <w:szCs w:val="24"/>
                <w:highlight w:val="none"/>
              </w:rPr>
              <w:t>增列为</w:t>
            </w:r>
            <w:r>
              <w:rPr>
                <w:rFonts w:hint="eastAsia" w:ascii="宋体" w:hAnsi="宋体" w:eastAsia="宋体" w:cs="宋体"/>
                <w:color w:val="auto"/>
                <w:spacing w:val="0"/>
                <w:sz w:val="24"/>
                <w:szCs w:val="24"/>
                <w:highlight w:val="none"/>
              </w:rPr>
              <w:t>招标文件的组成部分（以下简称：“增列内容”）适用本项目的电子招标投标活动，若增列内容与招标文件其他章节内容有冲突，应以增列内容为准：</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①电子招标投标活动的具体操作流程以福建省政府采购网上公开信息系统设定的为准。</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②关于投标文件：</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a.投标人应按照福建省政府采购网上公开信息系统设定的评审节点编制电子投标文件，否则</w:t>
            </w:r>
            <w:r>
              <w:rPr>
                <w:rStyle w:val="17"/>
                <w:rFonts w:hint="eastAsia" w:ascii="宋体" w:hAnsi="宋体" w:eastAsia="宋体" w:cs="宋体"/>
                <w:b/>
                <w:color w:val="auto"/>
                <w:spacing w:val="0"/>
                <w:sz w:val="24"/>
                <w:szCs w:val="24"/>
                <w:highlight w:val="none"/>
              </w:rPr>
              <w:t>资格审查小组、评标委员会将按照不利于投标人的内容进行认定。</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b.投标人应在投标截止时间前按照福建省政府采购网上公开信息系统设定的操作流程将电子投标文件</w:t>
            </w:r>
            <w:r>
              <w:rPr>
                <w:rStyle w:val="17"/>
                <w:rFonts w:hint="eastAsia" w:ascii="宋体" w:hAnsi="宋体" w:eastAsia="宋体" w:cs="宋体"/>
                <w:b/>
                <w:color w:val="auto"/>
                <w:spacing w:val="0"/>
                <w:sz w:val="24"/>
                <w:szCs w:val="24"/>
                <w:highlight w:val="none"/>
                <w:u w:val="single"/>
              </w:rPr>
              <w:t>1</w:t>
            </w:r>
            <w:r>
              <w:rPr>
                <w:rFonts w:hint="eastAsia" w:ascii="宋体" w:hAnsi="宋体" w:eastAsia="宋体" w:cs="宋体"/>
                <w:color w:val="auto"/>
                <w:spacing w:val="0"/>
                <w:sz w:val="24"/>
                <w:szCs w:val="24"/>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c.若出现福建省政府采购网上公开信息系统设定的意外情形（如：系统故障等），经本项目监督管理部门同意使用纸质投标文件的，应以纸质投标文件为准。</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③关于证明材料或资料：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a.除《检察机关行贿犯罪档案查询结果告知函》外，招标文件要求原件的，投标人在电子投标文件中可提供复印件（含扫描件），但在纸质投标文件正本中应提供原件</w:t>
            </w:r>
            <w:r>
              <w:rPr>
                <w:rStyle w:val="17"/>
                <w:rFonts w:hint="eastAsia" w:ascii="宋体" w:hAnsi="宋体" w:eastAsia="宋体" w:cs="宋体"/>
                <w:b/>
                <w:color w:val="auto"/>
                <w:sz w:val="24"/>
                <w:szCs w:val="24"/>
                <w:highlight w:val="none"/>
              </w:rPr>
              <w:t>（资格审查小组、评标委员会将核对纸质投标文件正本，未提供原件的证明材料或资料将导致投标无效）</w:t>
            </w:r>
            <w:r>
              <w:rPr>
                <w:rFonts w:hint="eastAsia" w:ascii="宋体" w:hAnsi="宋体" w:eastAsia="宋体" w:cs="宋体"/>
                <w:color w:val="auto"/>
                <w:sz w:val="24"/>
                <w:szCs w:val="24"/>
                <w:highlight w:val="none"/>
              </w:rPr>
              <w:t>；招标文件要求复印件的，投标人在纸质投标文件中提供原件、复印件（含扫描件）皆可；招标文件对原件、复印件未作要求的，投标人在纸质投标文件中提供原件、复印件（含扫描件）皆可。</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b.除《检察机关行贿犯罪档案查询结果告知函》外，若投标人提供注明“复印件无效”的证明材料或资料，其纸质投标文件正本中应提供原件</w:t>
            </w:r>
            <w:r>
              <w:rPr>
                <w:rStyle w:val="17"/>
                <w:rFonts w:hint="eastAsia" w:ascii="宋体" w:hAnsi="宋体" w:eastAsia="宋体" w:cs="宋体"/>
                <w:b/>
                <w:color w:val="auto"/>
                <w:sz w:val="24"/>
                <w:szCs w:val="24"/>
                <w:highlight w:val="none"/>
              </w:rPr>
              <w:t>（资格审查小组、评标委员会将核对纸质投标文件正本，未提供原件的证明材料或资料将导致投标无效）。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c.《检察机关行贿犯罪档案查询结果告知函》</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c2《检察机关行贿犯罪档案查询结果告知函》应在有效期内且内容完整、清晰、整洁，否则</w:t>
            </w:r>
            <w:r>
              <w:rPr>
                <w:rStyle w:val="17"/>
                <w:rFonts w:hint="eastAsia" w:ascii="宋体" w:hAnsi="宋体" w:eastAsia="宋体" w:cs="宋体"/>
                <w:b/>
                <w:color w:val="auto"/>
                <w:sz w:val="24"/>
                <w:szCs w:val="24"/>
                <w:highlight w:val="none"/>
              </w:rPr>
              <w:t>投标无效。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c3有效期内的《检察机关行贿犯罪档案查询结果告知函》复印件（含扫描件）及符合招标文件第七章规定的打印件（或截图），无论内容中是否注明“复印件无效”，</w:t>
            </w:r>
            <w:r>
              <w:rPr>
                <w:rStyle w:val="17"/>
                <w:rFonts w:hint="eastAsia" w:ascii="宋体" w:hAnsi="宋体" w:eastAsia="宋体" w:cs="宋体"/>
                <w:b/>
                <w:color w:val="auto"/>
                <w:sz w:val="24"/>
                <w:szCs w:val="24"/>
                <w:highlight w:val="none"/>
              </w:rPr>
              <w:t>均视同有效。</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④关于“全称”、“投标人代表签字”及“加盖单位公章”：</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a.在电子投标文件中，涉及“全称”和“投标人代表签字”的内容可使用打字录入方式完成。</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b.在电子投标文件中，涉及“加盖单位公章”的内容应使用投标人的CA证书完成，否则</w:t>
            </w:r>
            <w:r>
              <w:rPr>
                <w:rStyle w:val="17"/>
                <w:rFonts w:hint="eastAsia" w:ascii="宋体" w:hAnsi="宋体" w:eastAsia="宋体" w:cs="宋体"/>
                <w:b/>
                <w:color w:val="auto"/>
                <w:spacing w:val="0"/>
                <w:sz w:val="24"/>
                <w:szCs w:val="24"/>
                <w:highlight w:val="none"/>
              </w:rPr>
              <w:t>投标无效。</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c.在电子投标文件中，若投标人按照本增列内容第④点第b项规定加盖其单位公章，则出现无全称、或投标人代表未签字等情形，</w:t>
            </w:r>
            <w:r>
              <w:rPr>
                <w:rStyle w:val="17"/>
                <w:rFonts w:hint="eastAsia" w:ascii="宋体" w:hAnsi="宋体" w:eastAsia="宋体" w:cs="宋体"/>
                <w:b/>
                <w:color w:val="auto"/>
                <w:spacing w:val="0"/>
                <w:sz w:val="24"/>
                <w:szCs w:val="24"/>
                <w:highlight w:val="none"/>
              </w:rPr>
              <w:t>不视为投标无效。</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⑤关于投标人的CA证书：</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a.投标人的CA证书应在投标截止时间前连同密封的纸质投标文件送达招标文件第一章第10条载明的地点，否则</w:t>
            </w:r>
            <w:r>
              <w:rPr>
                <w:rStyle w:val="17"/>
                <w:rFonts w:hint="eastAsia" w:ascii="宋体" w:hAnsi="宋体" w:eastAsia="宋体" w:cs="宋体"/>
                <w:b/>
                <w:color w:val="auto"/>
                <w:spacing w:val="0"/>
                <w:sz w:val="24"/>
                <w:szCs w:val="24"/>
                <w:highlight w:val="none"/>
              </w:rPr>
              <w:t>投标将被拒绝。</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b.投标人的CA证书可采用信封（包括但不限于：信封、档案袋、文件袋等）作为外包装进行单独包装。外包装密封、不密封皆可。</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c.投标人的CA证书或外包装应标记“项目名称、招标编号、投标人的全称”等内容，以方便识别、使用。</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d.投标人的CA证书应能正常、有效使用，否则产生不利后果由投标人承担责任。</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⑥关于投标截止时间过后</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a.被福建省政府采购网上公开信息系统判定为投标保证金未提交（即未于投标截止时间前到达招标文件载明的投标保证金账户）的投标人，</w:t>
            </w:r>
            <w:r>
              <w:rPr>
                <w:rStyle w:val="17"/>
                <w:rFonts w:hint="eastAsia" w:ascii="宋体" w:hAnsi="宋体" w:eastAsia="宋体" w:cs="宋体"/>
                <w:b/>
                <w:color w:val="auto"/>
                <w:spacing w:val="0"/>
                <w:sz w:val="24"/>
                <w:szCs w:val="24"/>
                <w:highlight w:val="none"/>
              </w:rPr>
              <w:t>投标将被拒绝。</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b.有下列情形之一的，其</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,其保证金不予退还：</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b1不同投标人的电子投标文件被福建省政府采购网上公开信息系统判定为具有相同内部识别码；</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b2不同投标人的投标保证金被福建省政府采购网上公开信息系统判定为从同一单位或个人的账户转出；</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b3投标人的投标保证金被福建省政府采购网上公开信息系统判定为同一合同项下有其他投标人提交的投标保证金</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b4不同投标人被福建省政府采购网上公开信息系统判定为串通投标的其他情形。</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1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⑧其他：无。</w:t>
            </w:r>
          </w:p>
        </w:tc>
      </w:tr>
    </w:tbl>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Style w:val="17"/>
          <w:rFonts w:hint="eastAsia" w:ascii="宋体" w:hAnsi="宋体" w:eastAsia="宋体" w:cs="宋体"/>
          <w:b/>
          <w:color w:val="auto"/>
          <w:spacing w:val="0"/>
          <w:sz w:val="31"/>
          <w:szCs w:val="31"/>
          <w:highlight w:val="none"/>
        </w:rPr>
      </w:pPr>
      <w:r>
        <w:rPr>
          <w:rStyle w:val="17"/>
          <w:rFonts w:hint="eastAsia" w:ascii="宋体" w:hAnsi="宋体" w:eastAsia="宋体" w:cs="宋体"/>
          <w:b/>
          <w:color w:val="auto"/>
          <w:spacing w:val="0"/>
          <w:sz w:val="31"/>
          <w:szCs w:val="31"/>
          <w:highlight w:val="none"/>
        </w:rPr>
        <w:br w:type="page"/>
      </w:r>
    </w:p>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2" w:name="_Toc31588"/>
      <w:r>
        <w:rPr>
          <w:rStyle w:val="17"/>
          <w:rFonts w:hint="eastAsia" w:ascii="宋体" w:hAnsi="宋体" w:eastAsia="宋体" w:cs="宋体"/>
          <w:b/>
          <w:color w:val="auto"/>
          <w:spacing w:val="0"/>
          <w:sz w:val="31"/>
          <w:szCs w:val="31"/>
          <w:highlight w:val="none"/>
        </w:rPr>
        <w:t>第三章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投标人须知</w:t>
      </w:r>
      <w:bookmarkEnd w:id="2"/>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一、总则</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1、适用范围</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1.1适用于招标文件载明项目的政府采购活动（以下简称：“本次采购活动”）。</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2、定义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2.1“采购标的”指招标文件载明的需要采购的货物或服务。</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2.2“潜在投标人”指按照招标文件第一章第7条规定进行报名且有意向参加本项目投标的供应商。</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2.3“投标人”指按照招标文件第一章第7条规定进行报名并参加本项目投标的供应商。</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2.4“单位负责人”指单位法定代表人或法律、法规规定代表单位行使职权的主要负责人。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2.5“投标人代表”指投标人的单位负责人或“单位负责人授权书”中载明的接受授权方。</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二、投标人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3、合格投标人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3.1一般规定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（1）投标人应遵守政府采购法及实施条例、政府采购招投标管理办法、</w:t>
      </w:r>
      <w:r>
        <w:rPr>
          <w:rFonts w:hint="eastAsia" w:ascii="宋体" w:hAnsi="宋体" w:eastAsia="宋体" w:cs="宋体"/>
          <w:color w:val="auto"/>
          <w:highlight w:val="none"/>
        </w:rPr>
        <w:t>政府采购质疑和投诉办法及财政部、</w:t>
      </w:r>
      <w:r>
        <w:rPr>
          <w:rFonts w:hint="eastAsia" w:ascii="宋体" w:hAnsi="宋体" w:eastAsia="宋体" w:cs="宋体"/>
          <w:color w:val="auto"/>
          <w:spacing w:val="0"/>
          <w:highlight w:val="none"/>
        </w:rPr>
        <w:t>福建省财政厅有关政府采购文件的规定，同时还应遵守有关法律、法规和规章的强制性规定。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（2）投标人的资格要求：详见招标文件第一章。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3.2若本项目接受联合体投标且投标人为联合体，则联合体各方应遵守本章第3.1条规定，同时还应遵守下列规定：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（1）联合体各方应提交联合体协议，联合体协议应符合招标文件规定。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（2）联合体各方不得再单独参加或与其他供应商另外组成联合体参加同一合同项下的投标。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（3）联合体各方应共同与采购人签订政府采购合同，就政府采购合同约定的事项对采购人承担连带责任。</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4、投标费用</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4.1除招标文件另有规定外，投标人应自行承担其参加本项目投标所涉及的一切费用。</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三、招标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5、招标文件</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5.1招标文件由下述部分组成：</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（1）投标邀请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（2）投标人须知前附表（表1、2）</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（3）投标人须知</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（4）资格审查与评标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（5）招标内容及要求</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（6）政府采购合同（参考文本）</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（7）投标文件格式</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（8）按照招标文件规定作为招标文件组成部分的其他内容（若有）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5.2招标文件的澄清或修改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可对已发出的招标文件进行必要的澄清或修改，但不得对招标文件载明的采购标的和投标人的资格要求进行改变。</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（2）除本章第5.2条第（3）款规定情形外，澄清或修改的内容可能影响投标文件编制的，</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将在投标截止时间至少15个日历日前，在招标文件载明的指定媒体以更正公告的形式发布澄清或修改的内容。不足15个日历日的，</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将顺延投标截止时间及开标时间，</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和投标人受原投标截止时间及开标时间制约的所有权利和义务均延长至新的投标截止时间及开标时间。</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（3）澄清或修改的内容可能改变招标文件载明的采购标的和投标人的资格要求的，本次采购活动结束，</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6、现场考察或开标前答疑会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6.1是否组织现场考察或召开开标前答疑会：详见招标文件第二章。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7、更正公告</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7.1若</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发布更正公告，则更正公告及其所发布的内容或信息（包括但不限于：招标文件的澄清或修改、现场考察或答疑会的有关事宜等）</w:t>
      </w:r>
      <w:r>
        <w:rPr>
          <w:rStyle w:val="17"/>
          <w:rFonts w:hint="eastAsia" w:ascii="宋体" w:hAnsi="宋体" w:eastAsia="宋体" w:cs="宋体"/>
          <w:b/>
          <w:color w:val="auto"/>
          <w:spacing w:val="0"/>
          <w:sz w:val="24"/>
          <w:szCs w:val="24"/>
          <w:highlight w:val="none"/>
        </w:rPr>
        <w:t>作为招标文件组成部分</w:t>
      </w:r>
      <w:r>
        <w:rPr>
          <w:rFonts w:hint="eastAsia" w:ascii="宋体" w:hAnsi="宋体" w:eastAsia="宋体" w:cs="宋体"/>
          <w:color w:val="auto"/>
          <w:spacing w:val="0"/>
          <w:sz w:val="24"/>
          <w:szCs w:val="24"/>
          <w:highlight w:val="none"/>
        </w:rPr>
        <w:t>，对投标人具有约束力。</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7.2更正公告作为</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通知所有潜在投标人的书面形式。</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8、终止公告</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8.1若出现因重大变故导致采购任务取消情形，</w:t>
      </w:r>
      <w:r>
        <w:rPr>
          <w:rFonts w:hint="eastAsia" w:ascii="宋体" w:hAnsi="宋体" w:eastAsia="宋体" w:cs="宋体"/>
          <w:color w:val="auto"/>
          <w:spacing w:val="0"/>
          <w:sz w:val="24"/>
          <w:szCs w:val="24"/>
          <w:highlight w:val="none"/>
          <w:u w:val="none"/>
        </w:rPr>
        <w:t>福建省招标中心有限责任公司可终止招标并发布终止公告。</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none"/>
        </w:rPr>
        <w:t>8.2终止公告作为福建省招标中心有限责任公司</w:t>
      </w:r>
      <w:r>
        <w:rPr>
          <w:rFonts w:hint="eastAsia" w:ascii="宋体" w:hAnsi="宋体" w:eastAsia="宋体" w:cs="宋体"/>
          <w:color w:val="auto"/>
          <w:spacing w:val="0"/>
          <w:sz w:val="24"/>
          <w:szCs w:val="24"/>
          <w:highlight w:val="none"/>
        </w:rPr>
        <w:t>通知所有潜在投标人的书面形式。</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四、投标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9、投标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9.1投标人可对招标文件载明的全部或部分合同包进行投标。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9.2投标人应对同一个合同包内的所有内容进行完整投标，否则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9.3投标人代表只能接受一个投标人的授权参加投标，否则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9.4单位负责人为同一人或存在直接控股、管理关系的不同供应商，不得同时参加同一合同项下的投标，否则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9.5为本项目提供整体设计、规范编制或项目管理、监理、检测等服务的供应商，不得参加本项目除整体设计、规范编制和项目管理、监理、检测等服务外的采购活动，否则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9.6列入失信被执行人、重大税收违法案件当事人名单、政府采购严重违法失信行为记录名单及其他不符合政府采购法第二十二条规定条件的供应商，不得参加投标，否则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9.7有下列情形之一的，视为投标人串通投标，</w:t>
      </w:r>
      <w:r>
        <w:rPr>
          <w:rStyle w:val="17"/>
          <w:rFonts w:hint="eastAsia" w:ascii="宋体" w:hAnsi="宋体" w:eastAsia="宋体" w:cs="宋体"/>
          <w:b/>
          <w:color w:val="auto"/>
          <w:spacing w:val="0"/>
          <w:sz w:val="24"/>
          <w:szCs w:val="24"/>
          <w:highlight w:val="none"/>
        </w:rPr>
        <w:t>其投标无效：</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（1）不同投标人的投标文件由同一单位或个人编制；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（2）不同投标人委托同一单位或个人办理投标事宜；</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（3）不同投标人的投标文件载明的项目管理成员或联系人员为同一人；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（4）不同投标人的投标文件异常一致或投标报价呈规律性差异；</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（5）不同投标人的投标文件相互混装；</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（6）不同投标人的投标保证金从同一单位或个人的账户转出；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（7）有关法律、法规和规章及招标文件规定的其他串通投标情形。</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10、投标文件</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10.1投标文件的编制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（1）投标人应先仔细阅读招标文件的全部内容后，再进行投标文件的编制。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（2）投标文件应按照本章第10.2条规定编制其组成部分。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10.2投标文件由下述部分组成：</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（1）资格及资信证明部分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①投标函</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②投标人的资格及资信证明文件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③投标保证金</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（2）报价部分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①开标一览表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②投标分项报价表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③招标文件规定的价格扣除证明材料（若有）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④招标文件规定的加分证明材料（若有）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（3）技术商务部分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①标的说明一览表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②技术和服务要求响应表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③商务条件响应表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④投标人提交的其他资料（若有）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⑤招标文件规定作为投标文件组成部分的其他内容（若有）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10.3投标文件的语言</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（1）除招标文件另有规定外，投标文件应使用中文文本，若有不同文本，以中文文本为准。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10.4投标文件的份数：详见招标文件第二章。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10.5投标文件的格式</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（1）除招标文件另有规定外，投标文件应使用招标文件第七章规定的格式。</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（2）除招标文件另有规定外，投标文件的正本和全部副本均应使用不能擦去的墨料或墨水打印、书写或复印，其中：</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①正本应用A4幅面纸张打印装订，编制封面（封面标明“正本”字样）、索引、页码，并用胶装装订成册。</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②副本应用A4幅面纸张打印装订，编制封面（封面标明“副本”字样）、索引、页码，并用胶装装订成册；副本可用正本的完整复印件，并与正本保持一致（若不一致，以正本为准）。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③允许散装或活页装订的内容或材料：详见招标文件第二章。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※除本章第10.5条第（2）款第③点规定情形外，投标文件散装或活页装订将导致投标无效。</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（3）除招标文件另有规定外，投标文件应使用人民币作为计量货币。</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（4）除招标文件另有规定外，签署、盖章应遵守下列规定：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①投标文件应由投标人代表签字并加盖投标人的单位公章。若投标人代表为单位负责人授权的委托代理人，应提供“单位负责人授权书”。</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②投标文件应没有涂改或行间插字，除非这些改动是根据</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的指示进行的，或是为改正投标人造成的应修改的错误而进行的。若有前述改动，应按照下列规定之一对改动处进行处理：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a.投标人代表签字确认；</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b.加盖投标人的单位公章或校正章。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10.6投标报价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（1）投标报价超出最高限价将导致</w:t>
      </w:r>
      <w:r>
        <w:rPr>
          <w:rStyle w:val="17"/>
          <w:rFonts w:hint="eastAsia" w:ascii="宋体" w:hAnsi="宋体" w:eastAsia="宋体" w:cs="宋体"/>
          <w:b/>
          <w:color w:val="auto"/>
          <w:spacing w:val="0"/>
          <w:sz w:val="24"/>
          <w:szCs w:val="24"/>
          <w:highlight w:val="none"/>
        </w:rPr>
        <w:t>投标无效。</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（2）最高限价由采购人根据价格测算情况，在预算金额的额度内合理设定。最高限价不得超出预算金额。</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（3）除招标文件另有规定外，投标文件不能出现任何选择性的投标报价，即每一个合同包和品目号的采购标的都只能有一个投标报价。任何选择性的投标报价将导致</w:t>
      </w:r>
      <w:r>
        <w:rPr>
          <w:rStyle w:val="17"/>
          <w:rFonts w:hint="eastAsia" w:ascii="宋体" w:hAnsi="宋体" w:eastAsia="宋体" w:cs="宋体"/>
          <w:b/>
          <w:color w:val="auto"/>
          <w:spacing w:val="0"/>
          <w:sz w:val="24"/>
          <w:szCs w:val="24"/>
          <w:highlight w:val="none"/>
        </w:rPr>
        <w:t>投标无效。</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10.7分包</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（1）是否允许中标人将本项目的非主体、非关键性工作进行分包：详见招标文件第二章。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（3）招标文件允许中标人将非主体、非关键性工作进行分包的项目，有下列情形之一的，中标人不得分包：</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①投标文件中未载明分包承担主体；</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②投标文件载明的分包承担主体不具备相应资质条件；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③投标文件载明的分包承担主体拟再次分包；</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④享受中小企业扶持政策获得政府采购合同的，小微企业不得将合同分包给大中型企业，中型企业不得将合同分包给大型企业。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10.8投标有效期</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（1）招标文件载明的投标有效期：详见招标文件第二章。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（2）投标文件承诺的投标有效期不得少于招标文件载明的投标有效期，否则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（3）根据本次采购活动的需要，</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可于投标有效期届满之前书面要求投标人延长投标有效期，投标人应在</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10.9投标保证金</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（1）投标保证金作为投标人按照招标文件规定履行相应投标责任、义务的约束及担保。</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（2）投标保证金的有效期应与投标文件承诺的投标有效期保持一致，否则</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（3）提交</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①投标人应从其银行账户</w:t>
      </w:r>
      <w:r>
        <w:rPr>
          <w:rStyle w:val="17"/>
          <w:rFonts w:hint="eastAsia" w:ascii="宋体" w:hAnsi="宋体" w:eastAsia="宋体" w:cs="宋体"/>
          <w:b/>
          <w:color w:val="auto"/>
          <w:spacing w:val="0"/>
          <w:sz w:val="24"/>
          <w:szCs w:val="24"/>
          <w:highlight w:val="none"/>
        </w:rPr>
        <w:t>（基本存款账户）</w:t>
      </w:r>
      <w:r>
        <w:rPr>
          <w:rFonts w:hint="eastAsia" w:ascii="宋体" w:hAnsi="宋体" w:eastAsia="宋体" w:cs="宋体"/>
          <w:color w:val="auto"/>
          <w:spacing w:val="0"/>
          <w:sz w:val="24"/>
          <w:szCs w:val="24"/>
          <w:highlight w:val="none"/>
        </w:rPr>
        <w:t>按照下列方式：</w:t>
      </w:r>
      <w:r>
        <w:rPr>
          <w:rStyle w:val="17"/>
          <w:rFonts w:hint="eastAsia" w:ascii="宋体" w:hAnsi="宋体" w:eastAsia="宋体" w:cs="宋体"/>
          <w:b/>
          <w:color w:val="auto"/>
          <w:spacing w:val="0"/>
          <w:sz w:val="24"/>
          <w:szCs w:val="24"/>
          <w:highlight w:val="none"/>
        </w:rPr>
        <w:t>公对公转账方式</w:t>
      </w:r>
      <w:r>
        <w:rPr>
          <w:rFonts w:hint="eastAsia" w:ascii="宋体" w:hAnsi="宋体" w:eastAsia="宋体" w:cs="宋体"/>
          <w:color w:val="auto"/>
          <w:spacing w:val="0"/>
          <w:sz w:val="24"/>
          <w:szCs w:val="24"/>
          <w:highlight w:val="none"/>
        </w:rPr>
        <w:t>向招标文件载明的投标保证金账户提交投标保证金，具体金额详见招标文件第一章。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②投标保证金应于投标截止时间前到达招标文件载明的投标保证金账户，否则视为投标保证金未提交；是否到达按照下列方式认定：</w:t>
      </w:r>
      <w:r>
        <w:rPr>
          <w:rStyle w:val="17"/>
          <w:rFonts w:hint="eastAsia" w:ascii="宋体" w:hAnsi="宋体" w:eastAsia="宋体" w:cs="宋体"/>
          <w:b/>
          <w:color w:val="auto"/>
          <w:spacing w:val="0"/>
          <w:sz w:val="24"/>
          <w:szCs w:val="24"/>
          <w:highlight w:val="none"/>
        </w:rPr>
        <w:t>以福建省政府采购网上公开信息系统记载的为准。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③若本项目接受联合体投标且投标人为联合体，则联合体中的牵头方应按照本章第10.9条第（3）款第①、②点规定提交投标保证金。</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※除招标文件另有规定外，未按照上述规定提交投标保证金将导致资格审查不合格。</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（4）退还</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①在投标截止时间前撤回已提交的投标文件的投标人，其投标保证金将在</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收到投标人书面撤回通知之日起5个工作日内退回原账户。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②未中标人的投标保证金将在中标通知书发出之日起5个工作日内退回原账户。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③中标人的投标保证金将在政府采购合同签订之日起5个工作日内退回原账户；合同签订之日按照下列方式认定：</w:t>
      </w:r>
      <w:r>
        <w:rPr>
          <w:rStyle w:val="17"/>
          <w:rFonts w:hint="eastAsia" w:ascii="宋体" w:hAnsi="宋体" w:eastAsia="宋体" w:cs="宋体"/>
          <w:b/>
          <w:color w:val="auto"/>
          <w:spacing w:val="0"/>
          <w:sz w:val="24"/>
          <w:szCs w:val="24"/>
          <w:highlight w:val="none"/>
        </w:rPr>
        <w:t>以福建省政府采购网上公开信息系统记载的为准。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④终止招标的，</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将在终止公告发布之日起5个工作日内退回已收取的投标保证金及其在银行产生的孳息。</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⑤除招标文件另有规定外，质疑或投诉涉及的投标人，若投标保证金尚未退还，则待质疑或投诉处理完毕后不计利息原额退还。</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※本章第10.9条第（4）款第①、②、③点规定的投标保证金退还时限不包括因投标人自身原因导致无法及时退还而增加的时间。</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（6）有下列情形之一的，投标保证金将不予退还：</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①投标人串通投标；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②投标人提供虚假材料；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③投标人采取不正当手段诋毁、排挤其他投标人；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④投标截止时间后，投标人在投标有效期内撤销投标文件；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⑤投标人不接受评标委员会按照招标文件规定对投标报价错误之处进行修正；</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⑥投标人违反招标文件第三章第9.4、9.5、9.6条规定之一；</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⑦招标文件规定的其他不予退还情形；</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⑧中标人有下列情形之一的：</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a.除不可抗力外，因中标人自身原因未在中标通知书要求的期限内与采购人签订政府采购合同；</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b.未按照招标文件、投标文件的约定签订政府采购合同或提交履约保证金。</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※若上述投标保证金不予退还情形给采购人（采购代理机构）造成损失，则投标人还要承担相应的赔偿责任。</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10.10投标文件的提交</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（1）一个投标人只能提交一个投标文件，并按照招标文件第一章规定将其送达。</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（2）密封及其标记的具体形式：详见招标文件第二章。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10.11投标文件的补充、修改或撤回</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（1）投标截止时间前，投标人可对所提交的投标文件进行补充、修改或撤回，并书面通知</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（2）补充、修改的内容应按照本章第10.5条第（4）款规定进行签署、盖章，并按照本章第10.10条规定提交，</w:t>
      </w:r>
      <w:r>
        <w:rPr>
          <w:rStyle w:val="17"/>
          <w:rFonts w:hint="eastAsia" w:ascii="宋体" w:hAnsi="宋体" w:eastAsia="宋体" w:cs="宋体"/>
          <w:b/>
          <w:color w:val="auto"/>
          <w:spacing w:val="0"/>
          <w:sz w:val="24"/>
          <w:szCs w:val="24"/>
          <w:highlight w:val="none"/>
        </w:rPr>
        <w:t>否则将被拒收。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※按照上述规定提交的补充、修改内容作为投标文件组成部分。</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10.12除招标文件另有规定外，有下列情形之一的，</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（1）投标文件未按照招标文件要求签署、盖章；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（2）不符合招标文件中规定的资格要求；</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（3）投标报价超过招标文件中规定的预算金额或最高限价；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（4）投标文件含有采购人不能接受的附加条件；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（5）有关法律、法规和规章及招标文件规定的其他无效情形。</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五、开标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11、开标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11.1</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将在招标文件载明的开标时间及地点主持召开开标会，并邀请投标人参加。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11.2开标会的主持人、唱标人、记录人及其他工作人员（若有）均由</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派出，现场监督人员（若有）可由有关方面派出。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11.3参加开标会的投标人应签到，非投标人不参加开标会。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11.4开标会应遵守下列规定：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（1）首先由主持人宣布开标会须知，然后由投标人代表对投标文件的密封情况进行检查，经确认无误后，由工作人员对密封的投标文件当众拆封。</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（3）记录人对唱标人宣布的内容作开标记录。</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（6）若投标人未参加开标会（包括但不限于投标人派出的人员不是投标人代表），视同其对开标过程和开标记录予以认可。</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※若出现本章第11.4条第（4）、（5）、（6）款规定情形之一</w:t>
      </w:r>
      <w:r>
        <w:rPr>
          <w:rFonts w:hint="eastAsia" w:ascii="宋体" w:hAnsi="宋体" w:eastAsia="宋体" w:cs="宋体"/>
          <w:color w:val="auto"/>
          <w:spacing w:val="0"/>
          <w:sz w:val="24"/>
          <w:szCs w:val="24"/>
          <w:highlight w:val="none"/>
        </w:rPr>
        <w:t>，</w:t>
      </w:r>
      <w:r>
        <w:rPr>
          <w:rStyle w:val="17"/>
          <w:rFonts w:hint="eastAsia" w:ascii="宋体" w:hAnsi="宋体" w:eastAsia="宋体" w:cs="宋体"/>
          <w:b/>
          <w:color w:val="auto"/>
          <w:spacing w:val="0"/>
          <w:sz w:val="24"/>
          <w:szCs w:val="24"/>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highlight w:val="none"/>
          <w:u w:val="single"/>
        </w:rPr>
        <w:t>福建省招标中心有限责任公司</w:t>
      </w:r>
      <w:r>
        <w:rPr>
          <w:rStyle w:val="17"/>
          <w:rFonts w:hint="eastAsia" w:ascii="宋体" w:hAnsi="宋体" w:eastAsia="宋体" w:cs="宋体"/>
          <w:b/>
          <w:color w:val="auto"/>
          <w:spacing w:val="0"/>
          <w:sz w:val="24"/>
          <w:szCs w:val="24"/>
          <w:highlight w:val="none"/>
        </w:rPr>
        <w:t>提出任何疑义或要求（包括质疑）。</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11.5投标截止时间后，参加投标的投标人不足三家的，不进行开标。同时，本次采购活动结束，</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六、中标与政府采购合同</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12、中标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12.1本项目推荐的中标候选人家数：详见招标文件第二章。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12.2本项目中标人的确定：详见招标文件第二章。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12.3中标公告</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（1）中标人确定之日起2个工作日内，</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将在招标文件载明的指定媒体以中标公告的形式发布中标结果。</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（2）中标公告的公告期限为1个工作日。</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（3）中标公告同时作为</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通知除中标人外的其他投标人没有中标的书面形式。</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12.4中标通知书</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（1）中标公告发布的同时，</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将向中标人发出中标通知书。</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（2）中标通知书发出后，采购人不得违法改变中标结果，中标人无正当理由不得放弃中标。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13、政府采购合同</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13.2签订时限：自中标通知书发出之日起30个日历日内。</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13.3政府采购合同的履行、违约责任和解决争议的方法等适用合同法。</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13.4采购人与中标人应根据政府采购合同的约定依法履行合同义务。</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13.5政府采购合同履行过程中，采购人若需追加与合同标的相同的货物或服务，则追加采购金额不得超过原合同采购金额的10%。</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13.6中标人在政府采购合同履行过程中应遵守有关法律、法规和规章的强制性规定（即使前述强制性规定有可能在招标文件中未予列明）。</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七、询问、质疑与投诉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14、询问</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14.1潜在投标人或投标人对本次采购活动的有关事项若有疑问，可向福建省招标中心有限责任公司提出询问，福建省招标中心有限责任公司将按照政府采购法及实施条例的有关规定进行答复。</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15、质疑</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15.1</w:t>
      </w:r>
      <w:r>
        <w:rPr>
          <w:rFonts w:hint="eastAsia" w:ascii="宋体" w:hAnsi="宋体" w:eastAsia="宋体" w:cs="宋体"/>
          <w:color w:val="auto"/>
          <w:highlight w:val="none"/>
        </w:rPr>
        <w:t>针对同一采购程序环节的质疑应在政府采购法及实施条例规定的时限内一次性提出</w:t>
      </w:r>
      <w:r>
        <w:rPr>
          <w:rFonts w:hint="eastAsia" w:ascii="宋体" w:hAnsi="宋体" w:eastAsia="宋体" w:cs="宋体"/>
          <w:color w:val="auto"/>
          <w:spacing w:val="0"/>
          <w:highlight w:val="none"/>
        </w:rPr>
        <w:t>，并同时符合下列条件：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（2）质疑人应按照招标文件第二章规定方式提交质疑函。</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（3）质疑函应包括下列主要内容：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①质疑人的基本信息，至少包括：全称、地址、邮政编码等；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②所质疑项目的基本信息，至少包括：招标编号、项目名称等；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③所质疑的具体事项（以下简称：“质疑事项”）；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针对质疑事项提出的明确请求，前述明确请求指质疑人提出质疑的目的以及希望福建省招标中心有限责任公司对其质疑作出的处理结果，如：暂停招标投标活动、修改招标文件、停止或纠正违法违规行为、中标结果无效、废标、重新招标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⑤针对质疑事项导致质疑人自身权益受到损害的必要证明材料，至少包括：</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a.质疑人代表的身份证明材料：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a1</w:t>
      </w:r>
      <w:r>
        <w:rPr>
          <w:rFonts w:hint="eastAsia" w:ascii="宋体" w:hAnsi="宋体" w:eastAsia="宋体" w:cs="宋体"/>
          <w:color w:val="auto"/>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a2若本项目接受自然人投标且质疑人为自然人的，提供本人的身份证复印件。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w:t>
      </w:r>
      <w:r>
        <w:rPr>
          <w:rFonts w:hint="eastAsia" w:ascii="宋体" w:hAnsi="宋体" w:eastAsia="宋体" w:cs="宋体"/>
          <w:color w:val="auto"/>
          <w:highlight w:val="none"/>
        </w:rPr>
        <w:t>其他证明材料（即事实依据和必要的法律依据）</w:t>
      </w:r>
      <w:r>
        <w:rPr>
          <w:rFonts w:hint="eastAsia" w:ascii="宋体" w:hAnsi="宋体" w:eastAsia="宋体" w:cs="宋体"/>
          <w:color w:val="auto"/>
          <w:spacing w:val="0"/>
          <w:highlight w:val="none"/>
        </w:rPr>
        <w:t>包括但不限于下列材料：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b1所质疑的具体事项是与自已有利害关系的证明材料；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b2质疑函所述事实存在的证明材料，如：采购文件、采购过程或中标结果违法违规或不符合采购文件要求等证明材料；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b3依法应终止采购程序的证明材料；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b4应重新采购的证明材料；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b5采购文件、采购过程或中标、成交结果损害自已合法权益的证明材料等；</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7"/>
          <w:rFonts w:hint="eastAsia" w:ascii="宋体" w:hAnsi="宋体" w:eastAsia="宋体" w:cs="宋体"/>
          <w:b/>
          <w:color w:val="auto"/>
          <w:spacing w:val="0"/>
          <w:sz w:val="24"/>
          <w:szCs w:val="24"/>
          <w:highlight w:val="none"/>
        </w:rPr>
        <w:t>视为无效</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⑥质疑人代表及其联系方法的信息，至少包括：姓名、手机、电子信箱、邮寄地址等。</w:t>
      </w:r>
      <w:r>
        <w:rPr>
          <w:rFonts w:hint="eastAsia" w:ascii="宋体" w:hAnsi="宋体" w:eastAsia="宋体" w:cs="宋体"/>
          <w:color w:val="auto"/>
          <w:highlight w:val="none"/>
        </w:rPr>
        <w:br w:type="textWrapping"/>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⑦提出质疑的日期。</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z w:val="24"/>
          <w:szCs w:val="24"/>
          <w:highlight w:val="none"/>
        </w:rPr>
        <w:t>※质疑人为法人或其他组织的，质疑函应由单位负责人或委托代理人签字或盖章，并加盖投标人的单位公章。质疑人为自然人的，质疑函应由本人签字。</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15.2对不符合本章第15.1条规定的质疑，将按照下列规定进行处理：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（1）不符合其中第（1）、（2）条规定的，书面告知质疑人不予受理及其理由。</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（2）不符合其中第（3）条规定的，书面告知质疑人修改、补充后在规定时限内重新提交质疑函。</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15.3对符合本章第15.1条规定的质疑，将按照政府采购法及实施条例</w:t>
      </w:r>
      <w:r>
        <w:rPr>
          <w:rFonts w:hint="eastAsia" w:ascii="宋体" w:hAnsi="宋体" w:eastAsia="宋体" w:cs="宋体"/>
          <w:color w:val="auto"/>
          <w:highlight w:val="none"/>
        </w:rPr>
        <w:t>、政府采购质疑和投诉办法</w:t>
      </w:r>
      <w:r>
        <w:rPr>
          <w:rFonts w:hint="eastAsia" w:ascii="宋体" w:hAnsi="宋体" w:eastAsia="宋体" w:cs="宋体"/>
          <w:color w:val="auto"/>
          <w:spacing w:val="0"/>
          <w:highlight w:val="none"/>
        </w:rPr>
        <w:t>的有关规定进行答复。</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15.4招标文件的质疑：详见招标文件第二章。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16、投诉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16.2投诉应有明确的请求和必要的证明材料，投诉的事项不得超出已质疑事项的范围。</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八、政府采购政策</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17、政府采购政策由财政部根据国家的经济和社会发展政策并会同国家有关部委制定，包括但不限于下列具体政策要求：</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17.1进口产品指通过中国海关报关验放进入中国境内且产自关境外的产品，其中：</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（2）凡在海关特殊监管区域内企业生产或加工（包括从境外进口料件）销往境内其他地区的产品，不作为政府采购项下进口产品。</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（3）对从境外进入海关特殊监管区域，再经办理报关手续后从海关特殊监管区进入境内其他地区的产品，认定为进口产品。</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（4）招标文件列明不允许或未列明允许进口产品参加投标的，均视为拒绝进口产品参加投标。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7"/>
          <w:rFonts w:hint="eastAsia" w:ascii="宋体" w:hAnsi="宋体" w:eastAsia="宋体" w:cs="宋体"/>
          <w:b/>
          <w:color w:val="auto"/>
          <w:highlight w:val="none"/>
        </w:rPr>
        <w:t>“残疾人福利性单位”</w:t>
      </w:r>
      <w:r>
        <w:rPr>
          <w:rFonts w:hint="eastAsia" w:ascii="宋体" w:hAnsi="宋体" w:eastAsia="宋体" w:cs="宋体"/>
          <w:color w:val="auto"/>
          <w:sz w:val="24"/>
          <w:szCs w:val="24"/>
          <w:highlight w:val="none"/>
        </w:rPr>
        <w:t>）亦可享受前述扶持政策。其中：</w:t>
      </w:r>
    </w:p>
    <w:p>
      <w:pPr>
        <w:pStyle w:val="12"/>
        <w:keepNext w:val="0"/>
        <w:keepLines w:val="0"/>
        <w:widowControl/>
        <w:suppressLineNumbers w:val="0"/>
        <w:spacing w:before="75" w:beforeAutospacing="0" w:after="75" w:afterAutospacing="0"/>
        <w:ind w:left="0" w:right="0" w:firstLine="240"/>
        <w:rPr>
          <w:rFonts w:hint="eastAsia" w:ascii="宋体" w:hAnsi="宋体" w:eastAsia="宋体" w:cs="宋体"/>
          <w:color w:val="auto"/>
          <w:highlight w:val="none"/>
        </w:rPr>
      </w:pPr>
      <w:r>
        <w:rPr>
          <w:rFonts w:hint="eastAsia" w:ascii="宋体" w:hAnsi="宋体" w:eastAsia="宋体" w:cs="宋体"/>
          <w:color w:val="auto"/>
          <w:sz w:val="24"/>
          <w:szCs w:val="24"/>
          <w:highlight w:val="none"/>
        </w:rPr>
        <w:t>（1）中小企业指符合下列条件的中型、小型、微型企业：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②符合中小企业划分标准的个体工商户，在政府采购活动中视同中小企业。</w:t>
      </w:r>
    </w:p>
    <w:p>
      <w:pPr>
        <w:pStyle w:val="12"/>
        <w:keepNext w:val="0"/>
        <w:keepLines w:val="0"/>
        <w:widowControl/>
        <w:suppressLineNumbers w:val="0"/>
        <w:spacing w:before="75" w:beforeAutospacing="0" w:after="75" w:afterAutospacing="0"/>
        <w:ind w:left="0" w:right="0" w:firstLine="240"/>
        <w:rPr>
          <w:rFonts w:hint="eastAsia" w:ascii="宋体" w:hAnsi="宋体" w:eastAsia="宋体" w:cs="宋体"/>
          <w:color w:val="auto"/>
          <w:highlight w:val="none"/>
        </w:rPr>
      </w:pPr>
      <w:r>
        <w:rPr>
          <w:rFonts w:hint="eastAsia" w:ascii="宋体" w:hAnsi="宋体" w:eastAsia="宋体" w:cs="宋体"/>
          <w:color w:val="auto"/>
          <w:sz w:val="24"/>
          <w:szCs w:val="24"/>
          <w:highlight w:val="none"/>
        </w:rPr>
        <w:t>（2）在政府采购活动中，供应商提供的货物、工程或者服务符合下列情形的，享受本办法规定的中小企业扶持政策：</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①在货物采购项目中，货物由中小企业制造，即货物由中小企业生产且使用该中小企业商号或者注册商标；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②在工程采购项目中，工程由中小企业承建，即工程施工单位为中小企业；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③在服务采购项目中，服务由中小企业承接，即提供服务的人员为中小企业依照《中华人民共和国劳动合同法》</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订立劳动合同的从业人员。</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在货物采购项目中，供应商提供的货物既有中小企业制造货物，也有大型企业制造货物的，不享受本办法规定的中小企业扶持政策。</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以联合体形式参加政府采购活动，联合体各方均为中小企业的，联合体视同中小企业。其中，联合体各方均为小微企业的，联合体视同小微企业。</w:t>
      </w:r>
    </w:p>
    <w:p>
      <w:pPr>
        <w:pStyle w:val="12"/>
        <w:keepNext w:val="0"/>
        <w:keepLines w:val="0"/>
        <w:widowControl/>
        <w:suppressLineNumbers w:val="0"/>
        <w:spacing w:before="75" w:beforeAutospacing="0" w:after="75" w:afterAutospacing="0"/>
        <w:ind w:left="0" w:right="0" w:firstLine="240"/>
        <w:rPr>
          <w:rFonts w:hint="eastAsia" w:ascii="宋体" w:hAnsi="宋体" w:eastAsia="宋体" w:cs="宋体"/>
          <w:color w:val="auto"/>
          <w:highlight w:val="none"/>
        </w:rPr>
      </w:pPr>
      <w:r>
        <w:rPr>
          <w:rFonts w:hint="eastAsia" w:ascii="宋体" w:hAnsi="宋体" w:eastAsia="宋体" w:cs="宋体"/>
          <w:color w:val="auto"/>
          <w:sz w:val="24"/>
          <w:szCs w:val="24"/>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①监狱企业参加采购活动时，应提供由省级以上监狱管理局、戒毒管理局（含新疆生产建设兵团）出具的属于监狱企业的证明文件。</w:t>
      </w:r>
    </w:p>
    <w:p>
      <w:pPr>
        <w:pStyle w:val="12"/>
        <w:keepNext w:val="0"/>
        <w:keepLines w:val="0"/>
        <w:widowControl/>
        <w:suppressLineNumbers w:val="0"/>
        <w:spacing w:before="75" w:beforeAutospacing="0" w:after="24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②监狱企业视同小型、微型企业。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（4）残疾人福利性单位指同时符合下列条件的单位：</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①安置的残疾人占本单位在职职工人数的比例不低于25%（含25%），并且安置的残疾人人数不少于10人（含10人）；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②依法与安置的每位残疾人签订了一年以上（含一年）的劳动合同或服务协议；</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③为安置的每位残疾人按月足额缴纳了基本养老保险、基本医疗保险、失业保险、工伤保险和生育保险等社会保险费；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④通过银行等金融机构向安置的每位残疾人，按月支付了不低于单位所在区县适用的经省级人民政府批准的月最低工资标准的工资；</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⑤提供本单位制造的货物、承担的工程或服务，或提供其他残疾人福利性单位制造的货物（不包括使用非残疾人福利性单位注册商标的货物）。</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17.5信用记录指由财政部确定的有关网站提供的相关主体信用信息。信用记录的查询及使用应符合财政部文件（财库[2016]125号）规定。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17.6为落实政府采购政策需满足的要求：详见招标文件第一章。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九、本项目的有关信息</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18.1指定媒体：详见招标文件第二章。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18.2本项目的潜在投标人或投标人应随时关注指定媒体，否则产生不利后果由其自行承担。</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十、其他事项</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19、其他事项：详见招标文件第二章。</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24"/>
          <w:szCs w:val="24"/>
          <w:highlight w:val="none"/>
          <w:shd w:val="clear" w:fill="FFFFFF"/>
          <w:lang w:eastAsia="zh-CN"/>
        </w:rPr>
      </w:pPr>
      <w:r>
        <w:rPr>
          <w:rFonts w:hint="eastAsia" w:ascii="宋体" w:hAnsi="宋体" w:eastAsia="宋体" w:cs="宋体"/>
          <w:i w:val="0"/>
          <w:caps w:val="0"/>
          <w:color w:val="auto"/>
          <w:spacing w:val="0"/>
          <w:sz w:val="24"/>
          <w:szCs w:val="24"/>
          <w:highlight w:val="none"/>
          <w:shd w:val="clear" w:fill="FFFFFF"/>
          <w:lang w:eastAsia="zh-CN"/>
        </w:rPr>
        <w:t xml:space="preserve"> </w:t>
      </w:r>
    </w:p>
    <w:p>
      <w:pPr>
        <w:pStyle w:val="12"/>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24"/>
          <w:szCs w:val="24"/>
          <w:highlight w:val="none"/>
          <w:shd w:val="clear" w:fill="FFFFFF"/>
        </w:rPr>
      </w:pPr>
      <w:r>
        <w:rPr>
          <w:rFonts w:hint="eastAsia" w:ascii="宋体" w:hAnsi="宋体" w:eastAsia="宋体" w:cs="宋体"/>
          <w:i w:val="0"/>
          <w:caps w:val="0"/>
          <w:color w:val="auto"/>
          <w:spacing w:val="0"/>
          <w:sz w:val="24"/>
          <w:szCs w:val="24"/>
          <w:highlight w:val="none"/>
          <w:shd w:val="clear" w:fill="FFFFFF"/>
        </w:rPr>
        <w:br w:type="page"/>
      </w:r>
    </w:p>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3" w:name="_Toc12023"/>
      <w:r>
        <w:rPr>
          <w:rStyle w:val="17"/>
          <w:rFonts w:hint="eastAsia" w:ascii="宋体" w:hAnsi="宋体" w:eastAsia="宋体" w:cs="宋体"/>
          <w:b/>
          <w:color w:val="auto"/>
          <w:spacing w:val="0"/>
          <w:sz w:val="31"/>
          <w:szCs w:val="31"/>
          <w:highlight w:val="none"/>
        </w:rPr>
        <w:t>第四章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 xml:space="preserve"> </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资格审查与评标</w:t>
      </w:r>
      <w:bookmarkEnd w:id="3"/>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p>
    <w:p>
      <w:pPr>
        <w:pStyle w:val="12"/>
        <w:keepNext w:val="0"/>
        <w:keepLines w:val="0"/>
        <w:widowControl/>
        <w:suppressLineNumbers w:val="0"/>
        <w:spacing w:before="75" w:beforeAutospacing="0" w:after="75" w:afterAutospacing="0"/>
        <w:ind w:left="0" w:right="0" w:firstLine="0"/>
        <w:jc w:val="center"/>
        <w:outlineLvl w:val="1"/>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一、资格审查</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1、开标结束后，由</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负责资格审查小组的组建及资格审查工作的组织。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1.1资格审查小组由3人组成，并负责具体审查事务，其中：由采购人派出的采购人代表至少</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人，由</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派出的工作人员至少</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人，其余</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人可为采购人代表或</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的工作人员。</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1.2资格审查的依据是招标文件和投标文件。</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1.3资格审查的范围及内容：投标文件（资格及资信证明部分），具体如下：</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 xml:space="preserve"> （1）</w:t>
      </w:r>
      <w:r>
        <w:rPr>
          <w:rFonts w:hint="eastAsia" w:ascii="宋体" w:hAnsi="宋体" w:eastAsia="宋体" w:cs="宋体"/>
          <w:color w:val="auto"/>
          <w:spacing w:val="0"/>
          <w:highlight w:val="none"/>
        </w:rPr>
        <w:t>“投标函”；</w:t>
      </w:r>
      <w:r>
        <w:rPr>
          <w:rFonts w:hint="eastAsia" w:ascii="宋体" w:hAnsi="宋体" w:eastAsia="宋体" w:cs="宋体"/>
          <w:color w:val="auto"/>
          <w:spacing w:val="0"/>
          <w:highlight w:val="none"/>
        </w:rPr>
        <w:br w:type="textWrapping"/>
      </w:r>
      <w:r>
        <w:rPr>
          <w:rFonts w:hint="eastAsia" w:ascii="宋体" w:hAnsi="宋体" w:eastAsia="宋体" w:cs="宋体"/>
          <w:color w:val="auto"/>
          <w:spacing w:val="0"/>
          <w:highlight w:val="none"/>
          <w:lang w:eastAsia="zh-CN"/>
        </w:rPr>
        <w:t xml:space="preserve"> </w:t>
      </w:r>
      <w:r>
        <w:rPr>
          <w:rFonts w:hint="eastAsia" w:ascii="宋体" w:hAnsi="宋体" w:eastAsia="宋体" w:cs="宋体"/>
          <w:color w:val="auto"/>
          <w:spacing w:val="0"/>
          <w:highlight w:val="none"/>
        </w:rPr>
        <w:t xml:space="preserve"> （2）“投标人的资格及资信证明文件”</w:t>
      </w:r>
      <w:r>
        <w:rPr>
          <w:rFonts w:hint="eastAsia" w:ascii="宋体" w:hAnsi="宋体" w:eastAsia="宋体" w:cs="宋体"/>
          <w:color w:val="auto"/>
          <w:spacing w:val="0"/>
          <w:highlight w:val="none"/>
        </w:rPr>
        <w:br w:type="textWrapping"/>
      </w:r>
      <w:r>
        <w:rPr>
          <w:rFonts w:hint="eastAsia" w:ascii="宋体" w:hAnsi="宋体" w:eastAsia="宋体" w:cs="宋体"/>
          <w:color w:val="auto"/>
          <w:spacing w:val="0"/>
          <w:highlight w:val="none"/>
          <w:lang w:eastAsia="zh-CN"/>
        </w:rPr>
        <w:t xml:space="preserve"> </w:t>
      </w:r>
      <w:r>
        <w:rPr>
          <w:rFonts w:hint="eastAsia" w:ascii="宋体" w:hAnsi="宋体" w:eastAsia="宋体" w:cs="宋体"/>
          <w:color w:val="auto"/>
          <w:spacing w:val="0"/>
          <w:highlight w:val="none"/>
        </w:rPr>
        <w:t xml:space="preserve"> </w:t>
      </w:r>
      <w:r>
        <w:rPr>
          <w:rFonts w:hint="eastAsia" w:ascii="宋体" w:hAnsi="宋体" w:eastAsia="宋体" w:cs="宋体"/>
          <w:color w:val="auto"/>
          <w:spacing w:val="0"/>
          <w:highlight w:val="none"/>
          <w:lang w:eastAsia="zh-CN"/>
        </w:rPr>
        <w:t xml:space="preserve"> </w:t>
      </w:r>
      <w:r>
        <w:rPr>
          <w:rFonts w:hint="eastAsia" w:ascii="宋体" w:hAnsi="宋体" w:eastAsia="宋体" w:cs="宋体"/>
          <w:color w:val="auto"/>
          <w:highlight w:val="none"/>
        </w:rPr>
        <w:t>①</w:t>
      </w:r>
      <w:r>
        <w:rPr>
          <w:rFonts w:hint="eastAsia" w:ascii="宋体" w:hAnsi="宋体" w:eastAsia="宋体" w:cs="宋体"/>
          <w:color w:val="auto"/>
          <w:spacing w:val="0"/>
          <w:highlight w:val="none"/>
        </w:rPr>
        <w:t>一般资格证明文件：</w:t>
      </w:r>
    </w:p>
    <w:tbl>
      <w:tblPr>
        <w:tblStyle w:val="15"/>
        <w:tblW w:w="92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269"/>
        <w:gridCol w:w="6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4" w:hRule="atLeast"/>
          <w:tblHeader/>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57"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单位负责人授权书（若有）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65"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营业执照等证明文件</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69"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财务状况报告（财务报告、或资信证明、或投标担保函）</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69"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依法缴纳税收证明材料</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97"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依法缴纳社会保障资金证明材料</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6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具备履行合同所必需设备和专业技术能力的声明函（若有）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4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参加采购活动前三年内在经营活动中没有重大违法记录书面声明</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11"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信用记录查询结果</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中小企业声明函（专门面向中小企业或小型、微型企业适用，若有）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56"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联合体协议（若有）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16"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检察机关行贿犯罪档案查询结果告知函（若有）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rFonts w:hint="eastAsia" w:ascii="宋体" w:hAnsi="宋体" w:eastAsia="宋体" w:cs="宋体"/>
          <w:color w:val="auto"/>
          <w:spacing w:val="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auto"/>
          <w:spacing w:val="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auto"/>
          <w:spacing w:val="0"/>
          <w:kern w:val="0"/>
          <w:sz w:val="24"/>
          <w:szCs w:val="24"/>
          <w:highlight w:val="none"/>
          <w:lang w:val="en-US" w:eastAsia="zh-CN" w:bidi="ar"/>
        </w:rPr>
      </w:pPr>
    </w:p>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spacing w:val="0"/>
          <w:kern w:val="0"/>
          <w:sz w:val="24"/>
          <w:szCs w:val="24"/>
          <w:highlight w:val="none"/>
          <w:lang w:val="en-US" w:eastAsia="zh-CN" w:bidi="ar"/>
        </w:rPr>
        <w:t xml:space="preserve">   ②.其他资格证明文件：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包：1</w:t>
      </w:r>
    </w:p>
    <w:p>
      <w:pPr>
        <w:pStyle w:val="12"/>
        <w:keepNext w:val="0"/>
        <w:keepLines w:val="0"/>
        <w:widowControl/>
        <w:suppressLineNumbers w:val="0"/>
        <w:spacing w:before="75" w:beforeAutospacing="0" w:after="75" w:afterAutospacing="0"/>
        <w:ind w:left="0" w:right="0" w:firstLine="480"/>
        <w:rPr>
          <w:color w:val="auto"/>
          <w:highlight w:val="none"/>
        </w:rPr>
      </w:pPr>
      <w:r>
        <w:rPr>
          <w:rStyle w:val="17"/>
          <w:color w:val="auto"/>
          <w:sz w:val="24"/>
          <w:szCs w:val="24"/>
          <w:highlight w:val="none"/>
        </w:rPr>
        <w:t>无</w:t>
      </w:r>
    </w:p>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spacing w:val="0"/>
          <w:kern w:val="0"/>
          <w:sz w:val="24"/>
          <w:szCs w:val="24"/>
          <w:highlight w:val="none"/>
          <w:lang w:val="en-US" w:eastAsia="zh-CN" w:bidi="ar"/>
        </w:rPr>
        <w:t xml:space="preserve">  （3）投标保证金。</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1.4有下列情形之一的，</w:t>
      </w:r>
      <w:r>
        <w:rPr>
          <w:rStyle w:val="17"/>
          <w:rFonts w:hint="eastAsia" w:ascii="宋体" w:hAnsi="宋体" w:eastAsia="宋体" w:cs="宋体"/>
          <w:b/>
          <w:color w:val="auto"/>
          <w:spacing w:val="0"/>
          <w:sz w:val="24"/>
          <w:szCs w:val="24"/>
          <w:highlight w:val="none"/>
        </w:rPr>
        <w:t>资格审查不合格：</w:t>
      </w:r>
      <w:r>
        <w:rPr>
          <w:rStyle w:val="17"/>
          <w:rFonts w:hint="eastAsia" w:ascii="宋体" w:hAnsi="宋体" w:eastAsia="宋体" w:cs="宋体"/>
          <w:b/>
          <w:color w:val="auto"/>
          <w:spacing w:val="0"/>
          <w:sz w:val="24"/>
          <w:szCs w:val="24"/>
          <w:highlight w:val="none"/>
        </w:rPr>
        <w:br w:type="textWrapping"/>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（1）一般情形：</w:t>
      </w:r>
    </w:p>
    <w:tbl>
      <w:tblPr>
        <w:tblStyle w:val="1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未按照招标文件规定提交投标保证金</w:t>
            </w:r>
          </w:p>
        </w:tc>
      </w:tr>
    </w:tbl>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 xml:space="preserve">  （2）本项目规定的其他情形：</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highlight w:val="none"/>
        </w:rPr>
        <w:t>包：1</w:t>
      </w:r>
    </w:p>
    <w:tbl>
      <w:tblPr>
        <w:tblStyle w:val="1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无。</w:t>
            </w:r>
          </w:p>
        </w:tc>
      </w:tr>
    </w:tbl>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2、资格审查情况不得私自外泄，有关信息由</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统一对外发布。</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3、资格审查合格的投标人不足三家的，不进行评标。同时，本次采购活动结束，</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outlineLvl w:val="1"/>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二、评标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w:t>
      </w:r>
      <w:r>
        <w:rPr>
          <w:rFonts w:hint="eastAsia" w:ascii="宋体" w:hAnsi="宋体" w:eastAsia="宋体" w:cs="宋体"/>
          <w:color w:val="auto"/>
          <w:highlight w:val="none"/>
        </w:rPr>
        <w:t>资格审查结束后，由</w:t>
      </w:r>
      <w:r>
        <w:rPr>
          <w:rFonts w:hint="eastAsia" w:ascii="宋体" w:hAnsi="宋体" w:eastAsia="宋体" w:cs="宋体"/>
          <w:color w:val="auto"/>
          <w:spacing w:val="0"/>
          <w:highlight w:val="none"/>
        </w:rPr>
        <w:t>福建省招标中心有限责任公司负责评标委员会的组建及评标工作的组织。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5、评标委员会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5.1评标委员会由采购人代表和评标专家两部分共</w:t>
      </w:r>
      <w:r>
        <w:rPr>
          <w:rFonts w:hint="eastAsia" w:ascii="宋体" w:hAnsi="宋体" w:eastAsia="宋体" w:cs="宋体"/>
          <w:color w:val="auto"/>
          <w:spacing w:val="0"/>
          <w:sz w:val="24"/>
          <w:szCs w:val="24"/>
          <w:highlight w:val="none"/>
          <w:u w:val="single"/>
        </w:rPr>
        <w:t>5</w:t>
      </w:r>
      <w:r>
        <w:rPr>
          <w:rFonts w:hint="eastAsia" w:ascii="宋体" w:hAnsi="宋体" w:eastAsia="宋体" w:cs="宋体"/>
          <w:color w:val="auto"/>
          <w:spacing w:val="0"/>
          <w:sz w:val="24"/>
          <w:szCs w:val="24"/>
          <w:highlight w:val="none"/>
        </w:rPr>
        <w:t>人（以下简称“评委”）组成，其中：由采购人派出的采购人代表</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人，由福建省政府采购评审专家库产生的评标专家</w:t>
      </w:r>
      <w:r>
        <w:rPr>
          <w:rFonts w:hint="eastAsia" w:ascii="宋体" w:hAnsi="宋体" w:eastAsia="宋体" w:cs="宋体"/>
          <w:color w:val="auto"/>
          <w:spacing w:val="0"/>
          <w:sz w:val="24"/>
          <w:szCs w:val="24"/>
          <w:highlight w:val="none"/>
          <w:u w:val="single"/>
        </w:rPr>
        <w:t>4</w:t>
      </w:r>
      <w:r>
        <w:rPr>
          <w:rFonts w:hint="eastAsia" w:ascii="宋体" w:hAnsi="宋体" w:eastAsia="宋体" w:cs="宋体"/>
          <w:color w:val="auto"/>
          <w:spacing w:val="0"/>
          <w:sz w:val="24"/>
          <w:szCs w:val="24"/>
          <w:highlight w:val="none"/>
        </w:rPr>
        <w:t>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5.2评标委员会负责具体评标事务，并按照下列原则依法独立履行有关职责：</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（1）评标应保护国家利益、社会公共利益和各方当事人合法权益，提高采购效益，保证项目质量。</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（2）评标应遵循公平、公正、科学、严谨和择优原则。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（3）评标的依据是招标文件和投标文件。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（4）应按照招标文件规定推荐中标候选人或确定中标人。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（5）评标应遵守下列评标纪律：</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①评标情况不得私自外泄，有关信息由</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统一对外发布。</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②对</w:t>
      </w:r>
      <w:r>
        <w:rPr>
          <w:rFonts w:hint="eastAsia" w:ascii="宋体" w:hAnsi="宋体" w:eastAsia="宋体" w:cs="宋体"/>
          <w:color w:val="auto"/>
          <w:spacing w:val="0"/>
          <w:sz w:val="24"/>
          <w:szCs w:val="24"/>
          <w:highlight w:val="none"/>
          <w:u w:val="single"/>
        </w:rPr>
        <w:t>福建省招标中心有限责任公司</w:t>
      </w:r>
      <w:r>
        <w:rPr>
          <w:rFonts w:hint="eastAsia" w:ascii="宋体" w:hAnsi="宋体" w:eastAsia="宋体" w:cs="宋体"/>
          <w:color w:val="auto"/>
          <w:spacing w:val="0"/>
          <w:sz w:val="24"/>
          <w:szCs w:val="24"/>
          <w:highlight w:val="none"/>
        </w:rPr>
        <w:t>或投标人提供的要求保密的资料，不得摘记翻印和外传。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③不得收受投标人或有关人员的任何礼物，不得串联鼓动其他人袒护某投标人。若与投标人存在利害关系，则应主动声明并回避。</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④全体评委应按照招标文件规定进行评标，一切认定事项应查有实据且不得弄虚作假。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⑤评标中应充分发扬民主，推荐中标候选人或确定中标人后要服从评标报告。</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※对违反评标纪律的评委，将取消其评委资格，对评标工作造成严重损失者将予以通报批评乃至追究法律责任。</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6、评标程序</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6.1评标前的准备工作</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（1）全体评委应认真审阅招标文件，了解评委应履行或遵守的职责、义务和评标纪律。</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6.2符合性审查</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（1）评标委员会依据招标文件的实质性要求，对通过资格审查的投标文件进行符合性审查，以确定其是否满足招标文件的实质性要求。</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（2）满足招标文件的实质性要求指投标文件对招标文件实质性要求的响应不存在重大偏差或保留。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（5）评标委员会对所有投标人都执行相同的程序和标准。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（6）有下列情形之一的，</w:t>
      </w:r>
      <w:r>
        <w:rPr>
          <w:rStyle w:val="17"/>
          <w:rFonts w:hint="eastAsia" w:ascii="宋体" w:hAnsi="宋体" w:eastAsia="宋体" w:cs="宋体"/>
          <w:b/>
          <w:color w:val="auto"/>
          <w:spacing w:val="0"/>
          <w:sz w:val="24"/>
          <w:szCs w:val="24"/>
          <w:highlight w:val="none"/>
        </w:rPr>
        <w:t>符合性审查不合格：</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①项目一般情形：</w:t>
      </w:r>
    </w:p>
    <w:tbl>
      <w:tblPr>
        <w:tblStyle w:val="1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投标文件对招标文件实质性要求的响应存在重大偏离或保留。</w:t>
            </w:r>
          </w:p>
        </w:tc>
      </w:tr>
    </w:tbl>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②本项目规定的其他情形：</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t>包：1</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t>包一般情形</w:t>
      </w:r>
    </w:p>
    <w:tbl>
      <w:tblPr>
        <w:tblStyle w:val="1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投标人投标文件中的资格及资信证明部分不得出现报价，否则按无效投标处理。</w:t>
            </w:r>
          </w:p>
        </w:tc>
      </w:tr>
    </w:tbl>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技术符合性</w:t>
      </w:r>
    </w:p>
    <w:tbl>
      <w:tblPr>
        <w:tblStyle w:val="1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按闽财购〔2010〕28号文件规定，若投标人的技术部分实际得分少于招标文件设定的技术部分总分50%，即视为技术部分未实质性响应招标文件要求，按无效投标处理。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技术部分中不得出现报价部分的全部或部分的投标报价信息（或组成资料），否则符合性审查不合格。</w:t>
            </w:r>
          </w:p>
        </w:tc>
      </w:tr>
    </w:tbl>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商务符合性</w:t>
      </w:r>
    </w:p>
    <w:tbl>
      <w:tblPr>
        <w:tblStyle w:val="1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招标文件第五章“三、商务条件”中内容出现负偏离的，按无效投标处理。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2"/>
              <w:keepNext w:val="0"/>
              <w:keepLines w:val="0"/>
              <w:widowControl/>
              <w:suppressLineNumbers w:val="0"/>
              <w:spacing w:before="0" w:beforeAutospacing="0" w:after="150" w:afterAutospacing="0"/>
              <w:ind w:right="0"/>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商务部分中不得出现报价部分的全部或部分的投标报价信息（或组成资料），否则符合性审查不合格。</w:t>
            </w:r>
          </w:p>
        </w:tc>
      </w:tr>
    </w:tbl>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附加符合性</w:t>
      </w:r>
      <w:r>
        <w:rPr>
          <w:rFonts w:hint="eastAsia" w:ascii="宋体" w:hAnsi="宋体" w:eastAsia="宋体" w:cs="宋体"/>
          <w:color w:val="auto"/>
          <w:kern w:val="0"/>
          <w:sz w:val="24"/>
          <w:szCs w:val="24"/>
          <w:highlight w:val="none"/>
          <w:lang w:val="en-US" w:eastAsia="zh-CN" w:bidi="ar"/>
        </w:rPr>
        <w:br w:type="textWrapping"/>
      </w:r>
      <w:r>
        <w:rPr>
          <w:rStyle w:val="17"/>
          <w:rFonts w:hint="eastAsia" w:ascii="宋体" w:hAnsi="宋体" w:eastAsia="宋体" w:cs="宋体"/>
          <w:b/>
          <w:color w:val="auto"/>
          <w:kern w:val="0"/>
          <w:sz w:val="24"/>
          <w:szCs w:val="24"/>
          <w:highlight w:val="none"/>
          <w:lang w:val="en-US" w:eastAsia="zh-CN" w:bidi="ar"/>
        </w:rPr>
        <w:t xml:space="preserve">         无</w:t>
      </w: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br w:type="textWrapping"/>
      </w:r>
      <w:r>
        <w:rPr>
          <w:rStyle w:val="17"/>
          <w:rFonts w:hint="eastAsia" w:ascii="宋体" w:hAnsi="宋体" w:eastAsia="宋体" w:cs="宋体"/>
          <w:b/>
          <w:color w:val="auto"/>
          <w:kern w:val="0"/>
          <w:sz w:val="24"/>
          <w:szCs w:val="24"/>
          <w:highlight w:val="none"/>
          <w:lang w:val="en-US" w:eastAsia="zh-CN" w:bidi="ar"/>
        </w:rPr>
        <w:t xml:space="preserve">         无</w:t>
      </w:r>
      <w:r>
        <w:rPr>
          <w:rFonts w:hint="eastAsia"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价格符合性</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6.3澄清有关问题</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（1）对通过符合性审查的投标文件中含义不明确、同类问题表述不一致或有明显文字和计算错误的内容，评标委员会将以书面形式要求投标人作出必要的澄清、说明或补正。</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（3）投标文件报价出现前后不一致的，除招标文件另有规定外，按照下列规定修正：</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①开标一览表内容与投标文件中相应内容不一致的，以开标一览表为准；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②大写金额和小写金额不一致的，以大写金额为准；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③单价金额小数点或百分比有明显错位的，以开标一览表的总价为准，并修改单价；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④总价金额与按照单价汇总金额不一致的，以单价金额计算结果为准。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※同时出现两种以上不一致的，按照前款规定的顺序修正。修正后的报价应按照本章第6.3条第（1）、（2）款规定经投标人确认后产生约束力，投标人不确认的，其投标无效。</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（4）关于细微偏差</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（5）关于投标描述（即投标文件中描述的内容）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①投标描述前后不一致且不涉及证明材料的：按照本章第6.3条第（1）、（2）款规定执行。</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②投标描述与证明材料不一致或多份证明材料之间不一致的：</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a.评标委员会将要求投标人进行书面澄清，并按照不利于投标人的内容进行评标。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6.4比较与评价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（1）按照本章第7条载明的评标方法和标准，对符合性审查合格的投标文件进行比较与评价。</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（2）关于相同品牌产品</w:t>
      </w:r>
      <w:r>
        <w:rPr>
          <w:rStyle w:val="17"/>
          <w:rFonts w:hint="eastAsia" w:ascii="宋体" w:hAnsi="宋体" w:eastAsia="宋体" w:cs="宋体"/>
          <w:b/>
          <w:color w:val="auto"/>
          <w:spacing w:val="0"/>
          <w:sz w:val="24"/>
          <w:szCs w:val="24"/>
          <w:highlight w:val="none"/>
        </w:rPr>
        <w:t>（政府采购服务类项目不适用本条款规定）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a.招标文件规定的方式：</w:t>
      </w:r>
      <w:r>
        <w:rPr>
          <w:rFonts w:hint="eastAsia" w:ascii="宋体" w:hAnsi="宋体" w:eastAsia="宋体" w:cs="宋体"/>
          <w:color w:val="auto"/>
          <w:spacing w:val="0"/>
          <w:sz w:val="24"/>
          <w:szCs w:val="24"/>
          <w:highlight w:val="none"/>
          <w:u w:val="single"/>
        </w:rPr>
        <w:t>无</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b.招标文件未规定的，采取随机抽取方式确定，其他</w:t>
      </w:r>
      <w:r>
        <w:rPr>
          <w:rStyle w:val="17"/>
          <w:rFonts w:hint="eastAsia" w:ascii="宋体" w:hAnsi="宋体" w:eastAsia="宋体" w:cs="宋体"/>
          <w:b/>
          <w:color w:val="auto"/>
          <w:spacing w:val="0"/>
          <w:sz w:val="24"/>
          <w:szCs w:val="24"/>
          <w:highlight w:val="none"/>
        </w:rPr>
        <w:t>投标无效。</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a.招标文件规定的方式：</w:t>
      </w:r>
      <w:r>
        <w:rPr>
          <w:rFonts w:hint="eastAsia" w:ascii="宋体" w:hAnsi="宋体" w:eastAsia="宋体" w:cs="宋体"/>
          <w:color w:val="auto"/>
          <w:spacing w:val="0"/>
          <w:sz w:val="24"/>
          <w:szCs w:val="24"/>
          <w:highlight w:val="none"/>
          <w:u w:val="single"/>
        </w:rPr>
        <w:t>无</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b.招标文件未规定的，采取随机抽取方式确定，其他同品牌投标人不作为中标候选人。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③非单一产品采购项目，多家投标人提供的核心产品品牌相同的，按照本章第6.4条第（2）款第①、②规定处理。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（3）漏（缺）项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①招标文件中要求列入报价的费用（含配置、功能），漏（缺）项的报价视为已经包括在投标总价中。</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②对多报项及赠送项的价格评标时不予核减，全部进入评标价评议。</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6.5推荐中标候选人：详见本章第7.2条规定。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6.6编写评标报告</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（1）评标报告由评标委员会负责编写。</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（2）评标报告应包括下列内容：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①招标公告刊登的媒体名称、开标日期和地点；</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②投标人名单和评标委员会成员名单；</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③评标方法和标准；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④开标记录和评标情况及说明，包括无效投标人名单及原因；</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⑤评标结果，包括中标候选人名单或确定的中标人；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⑥其他需要说明的情况，包括但不限于：评标过程中投标人的澄清、说明或补正，评委更换等。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处理。</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6.8评委对需要共同认定的事项存在争议的，应按照少数服从多数的原则进行认定。</w:t>
      </w:r>
      <w:r>
        <w:rPr>
          <w:rStyle w:val="17"/>
          <w:rFonts w:hint="eastAsia" w:ascii="宋体" w:hAnsi="宋体" w:eastAsia="宋体" w:cs="宋体"/>
          <w:b/>
          <w:color w:val="auto"/>
          <w:spacing w:val="0"/>
          <w:sz w:val="24"/>
          <w:szCs w:val="24"/>
          <w:highlight w:val="none"/>
        </w:rPr>
        <w:t>持不同意见的评委应在评标报告上签署不同意见及理由，否则视为同意评标报告。</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6.9在评标过程中发现投标人有下列情形之一的，评标委员会应认定其</w:t>
      </w:r>
      <w:r>
        <w:rPr>
          <w:rStyle w:val="17"/>
          <w:rFonts w:hint="eastAsia" w:ascii="宋体" w:hAnsi="宋体" w:eastAsia="宋体" w:cs="宋体"/>
          <w:b/>
          <w:color w:val="auto"/>
          <w:spacing w:val="0"/>
          <w:sz w:val="24"/>
          <w:szCs w:val="24"/>
          <w:highlight w:val="none"/>
        </w:rPr>
        <w:t>投标无效</w:t>
      </w:r>
      <w:r>
        <w:rPr>
          <w:rFonts w:hint="eastAsia" w:ascii="宋体" w:hAnsi="宋体" w:eastAsia="宋体" w:cs="宋体"/>
          <w:color w:val="auto"/>
          <w:spacing w:val="0"/>
          <w:sz w:val="24"/>
          <w:szCs w:val="24"/>
          <w:highlight w:val="none"/>
        </w:rPr>
        <w:t>，并书面报告本项目监督管理部门：</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（1）恶意串通（包括但不限于招标文件第三章第9.7条规定情形）；</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（2）妨碍其他投标人的竞争行为；</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（3）损害采购人或其他投标人的合法权益。</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6.10评标过程中，有下列情形之一的，应予废标：</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（1）符合性审查合格的投标人不足三家的；</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（2）有关法律、法规和规章规定废标的情形。</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※若废标，则本次采购活动结束，</w:t>
      </w:r>
      <w:r>
        <w:rPr>
          <w:rFonts w:hint="eastAsia" w:ascii="宋体" w:hAnsi="宋体" w:eastAsia="宋体" w:cs="宋体"/>
          <w:color w:val="auto"/>
          <w:spacing w:val="0"/>
          <w:sz w:val="24"/>
          <w:szCs w:val="24"/>
          <w:highlight w:val="none"/>
          <w:u w:val="single"/>
        </w:rPr>
        <w:t>福建省招标中心有限责任公司</w:t>
      </w:r>
      <w:r>
        <w:rPr>
          <w:rStyle w:val="17"/>
          <w:rFonts w:hint="eastAsia" w:ascii="宋体" w:hAnsi="宋体" w:eastAsia="宋体" w:cs="宋体"/>
          <w:b/>
          <w:color w:val="auto"/>
          <w:spacing w:val="0"/>
          <w:sz w:val="24"/>
          <w:szCs w:val="24"/>
          <w:highlight w:val="none"/>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7、评标方法和标准</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7.1评标方法：</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合同包1采用综合评分法。</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7.2评标标准</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sz w:val="19"/>
          <w:szCs w:val="19"/>
          <w:highlight w:val="none"/>
        </w:rPr>
      </w:pPr>
      <w:r>
        <w:rPr>
          <w:rStyle w:val="17"/>
          <w:rFonts w:hint="eastAsia" w:ascii="宋体" w:hAnsi="宋体" w:eastAsia="宋体" w:cs="宋体"/>
          <w:b/>
          <w:color w:val="auto"/>
          <w:sz w:val="24"/>
          <w:szCs w:val="24"/>
          <w:highlight w:val="none"/>
          <w:shd w:val="clear" w:fill="FFFFFF"/>
        </w:rPr>
        <w:t>合同包1采用综合评分法</w:t>
      </w:r>
      <w:r>
        <w:rPr>
          <w:rFonts w:hint="eastAsia" w:ascii="宋体" w:hAnsi="宋体" w:eastAsia="宋体" w:cs="宋体"/>
          <w:color w:val="auto"/>
          <w:sz w:val="24"/>
          <w:szCs w:val="24"/>
          <w:highlight w:val="none"/>
          <w:shd w:val="clear" w:fill="FFFFFF"/>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（3）各项评审因素的设置如下：</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①价格项（F1×A1）满分为</w:t>
      </w:r>
      <w:r>
        <w:rPr>
          <w:rFonts w:hint="eastAsia" w:ascii="宋体" w:hAnsi="宋体" w:eastAsia="宋体" w:cs="宋体"/>
          <w:color w:val="auto"/>
          <w:sz w:val="24"/>
          <w:szCs w:val="24"/>
          <w:highlight w:val="none"/>
          <w:u w:val="single"/>
          <w:lang w:val="en-US" w:eastAsia="zh-CN"/>
        </w:rPr>
        <w:t xml:space="preserve">10 </w:t>
      </w:r>
      <w:r>
        <w:rPr>
          <w:rFonts w:hint="eastAsia" w:ascii="宋体" w:hAnsi="宋体" w:eastAsia="宋体" w:cs="宋体"/>
          <w:color w:val="auto"/>
          <w:sz w:val="24"/>
          <w:szCs w:val="24"/>
          <w:highlight w:val="none"/>
        </w:rPr>
        <w:t>分。</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b.价格扣除的规则如下：</w:t>
      </w:r>
    </w:p>
    <w:tbl>
      <w:tblPr>
        <w:tblStyle w:val="15"/>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13"/>
        <w:gridCol w:w="6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评标项目</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小型、微型企业，监狱企业，残疾人</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numPr>
                <w:ilvl w:val="0"/>
                <w:numId w:val="1"/>
              </w:numPr>
              <w:suppressLineNumbers w:val="0"/>
              <w:jc w:val="left"/>
              <w:rPr>
                <w:rFonts w:hint="eastAsia" w:ascii="宋体" w:hAnsi="宋体" w:eastAsia="宋体" w:cs="宋体"/>
                <w:color w:val="auto"/>
                <w:highlight w:val="none"/>
              </w:rPr>
            </w:pPr>
            <w:r>
              <w:rPr>
                <w:rStyle w:val="17"/>
                <w:rFonts w:ascii="宋体" w:hAnsi="宋体" w:eastAsia="宋体" w:cs="宋体"/>
                <w:color w:val="auto"/>
                <w:sz w:val="24"/>
                <w:szCs w:val="24"/>
                <w:highlight w:val="none"/>
              </w:rPr>
              <w:t>对小、微企业报价给予10%（工程项目为5%）的扣除。2、联合协议或分包意向协议约定小微企业的合同份额占到合同总金额 30%以上的，对联合体或者大中型企业的报价给予3%（工程项目为2%）的扣除。3、监狱企业视同上述中小企业享受政府采购扶持政策。4、残疾人福利性单位提供本单位制造的货物、承担的工程或服务，或提供其他残疾人福利性单位制造的货物（不包括使用非残疾人福利性单位注册商标的货物），对报价给予10%（工程项目为5%）的扣除。对于参与货物项目的，要求残疾人福利性单位必须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标的对应的中小企业划分标准所属行业为物业管理。</w:t>
            </w:r>
          </w:p>
        </w:tc>
      </w:tr>
    </w:tbl>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②技术项（F2×A2）满分为</w:t>
      </w:r>
      <w:r>
        <w:rPr>
          <w:rFonts w:hint="eastAsia" w:ascii="宋体" w:hAnsi="宋体" w:eastAsia="宋体" w:cs="宋体"/>
          <w:color w:val="auto"/>
          <w:sz w:val="24"/>
          <w:szCs w:val="24"/>
          <w:highlight w:val="none"/>
          <w:u w:val="single"/>
          <w:lang w:val="en-US" w:eastAsia="zh-CN"/>
        </w:rPr>
        <w:t>75</w:t>
      </w:r>
      <w:r>
        <w:rPr>
          <w:rFonts w:hint="eastAsia" w:ascii="宋体" w:hAnsi="宋体" w:eastAsia="宋体" w:cs="宋体"/>
          <w:color w:val="auto"/>
          <w:sz w:val="24"/>
          <w:szCs w:val="24"/>
          <w:highlight w:val="none"/>
        </w:rPr>
        <w:t>分。</w:t>
      </w:r>
    </w:p>
    <w:tbl>
      <w:tblPr>
        <w:tblStyle w:val="15"/>
        <w:tblW w:w="830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00"/>
        <w:gridCol w:w="1090"/>
        <w:gridCol w:w="60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rPr>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评标项目</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评标分值</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1、服务响应情况</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30</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both"/>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根据各投标人对招标文件</w:t>
            </w:r>
            <w:r>
              <w:rPr>
                <w:rFonts w:ascii="宋体" w:hAnsi="宋体" w:eastAsia="宋体" w:cs="宋体"/>
                <w:color w:val="auto"/>
                <w:sz w:val="24"/>
                <w:szCs w:val="24"/>
                <w:highlight w:val="none"/>
              </w:rPr>
              <w:t>第五章“技术和服务要求</w:t>
            </w:r>
            <w:r>
              <w:rPr>
                <w:rFonts w:hint="eastAsia" w:ascii="宋体" w:hAnsi="宋体" w:eastAsia="宋体" w:cs="宋体"/>
                <w:color w:val="auto"/>
                <w:kern w:val="0"/>
                <w:sz w:val="24"/>
                <w:szCs w:val="24"/>
                <w:highlight w:val="none"/>
                <w:lang w:val="en-US" w:eastAsia="zh-CN" w:bidi="ar"/>
              </w:rPr>
              <w:t>”中“(一）服务内容”各项服务条款内容的响应情况（共</w:t>
            </w:r>
            <w:r>
              <w:rPr>
                <w:rFonts w:hint="eastAsia" w:ascii="宋体" w:hAnsi="宋体" w:eastAsia="宋体" w:cs="宋体"/>
                <w:color w:val="auto"/>
                <w:kern w:val="0"/>
                <w:sz w:val="24"/>
                <w:szCs w:val="24"/>
                <w:highlight w:val="none"/>
                <w:u w:val="single"/>
                <w:lang w:val="en-US" w:eastAsia="zh-CN" w:bidi="ar"/>
              </w:rPr>
              <w:t>20</w:t>
            </w:r>
            <w:r>
              <w:rPr>
                <w:rFonts w:hint="eastAsia" w:ascii="宋体" w:hAnsi="宋体" w:eastAsia="宋体" w:cs="宋体"/>
                <w:color w:val="auto"/>
                <w:kern w:val="0"/>
                <w:sz w:val="24"/>
                <w:szCs w:val="24"/>
                <w:highlight w:val="none"/>
                <w:lang w:val="en-US" w:eastAsia="zh-CN" w:bidi="ar"/>
              </w:rPr>
              <w:t>项）进行打分，完全满足招标文件要求的得</w:t>
            </w:r>
            <w:r>
              <w:rPr>
                <w:rFonts w:hint="eastAsia" w:ascii="宋体" w:hAnsi="宋体" w:eastAsia="宋体" w:cs="宋体"/>
                <w:color w:val="auto"/>
                <w:kern w:val="0"/>
                <w:sz w:val="24"/>
                <w:szCs w:val="24"/>
                <w:highlight w:val="none"/>
                <w:u w:val="single"/>
                <w:lang w:val="en-US" w:eastAsia="zh-CN" w:bidi="ar"/>
              </w:rPr>
              <w:t>30</w:t>
            </w:r>
            <w:r>
              <w:rPr>
                <w:rFonts w:hint="eastAsia" w:ascii="宋体" w:hAnsi="宋体" w:eastAsia="宋体" w:cs="宋体"/>
                <w:color w:val="auto"/>
                <w:kern w:val="0"/>
                <w:sz w:val="24"/>
                <w:szCs w:val="24"/>
                <w:highlight w:val="none"/>
                <w:lang w:val="en-US" w:eastAsia="zh-CN" w:bidi="ar"/>
              </w:rPr>
              <w:t>分，每负偏离一项扣1.5分。</w:t>
            </w:r>
          </w:p>
          <w:p>
            <w:pPr>
              <w:keepNext w:val="0"/>
              <w:keepLines w:val="0"/>
              <w:widowControl/>
              <w:suppressLineNumbers w:val="0"/>
              <w:jc w:val="both"/>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注：各</w:t>
            </w:r>
            <w:r>
              <w:rPr>
                <w:rFonts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人</w:t>
            </w:r>
            <w:r>
              <w:rPr>
                <w:rFonts w:ascii="宋体" w:hAnsi="宋体" w:eastAsia="宋体" w:cs="宋体"/>
                <w:color w:val="auto"/>
                <w:sz w:val="24"/>
                <w:szCs w:val="24"/>
                <w:highlight w:val="none"/>
              </w:rPr>
              <w:t>对照招标文件第五章“技术和服务要求”</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正、负、无偏离均应在《技术和服务要求响应表》中详细列出并说明</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《技术和服务要求响应表》应与</w:t>
            </w:r>
            <w:r>
              <w:rPr>
                <w:rFonts w:hint="eastAsia" w:ascii="宋体" w:hAnsi="宋体" w:eastAsia="宋体" w:cs="宋体"/>
                <w:color w:val="auto"/>
                <w:kern w:val="0"/>
                <w:sz w:val="24"/>
                <w:szCs w:val="24"/>
                <w:highlight w:val="none"/>
                <w:lang w:val="en-US" w:eastAsia="zh-CN" w:bidi="ar"/>
              </w:rPr>
              <w:t>招标文件</w:t>
            </w:r>
            <w:r>
              <w:rPr>
                <w:rFonts w:ascii="宋体" w:hAnsi="宋体" w:eastAsia="宋体" w:cs="宋体"/>
                <w:color w:val="auto"/>
                <w:sz w:val="24"/>
                <w:szCs w:val="24"/>
                <w:highlight w:val="none"/>
              </w:rPr>
              <w:t>第五章“技术和服务要求</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sz w:val="24"/>
                <w:szCs w:val="24"/>
                <w:highlight w:val="none"/>
              </w:rPr>
              <w:t>的有关内容保持一致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以“★”标示的内容或注有“投标无效”的条款及不参与评分的条款均为不允许负偏离的实性质条款</w:t>
            </w:r>
            <w:r>
              <w:rPr>
                <w:rFonts w:ascii="宋体" w:hAnsi="宋体" w:eastAsia="宋体" w:cs="宋体"/>
                <w:color w:val="auto"/>
                <w:sz w:val="24"/>
                <w:szCs w:val="24"/>
                <w:highlight w:val="none"/>
              </w:rPr>
              <w:t>，不做评分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lang w:val="en-US" w:eastAsia="zh-CN" w:bidi="ar"/>
              </w:rPr>
              <w:t>参与评分的条款为</w:t>
            </w:r>
            <w:r>
              <w:rPr>
                <w:rFonts w:ascii="宋体" w:hAnsi="宋体" w:eastAsia="宋体" w:cs="宋体"/>
                <w:color w:val="auto"/>
                <w:sz w:val="24"/>
                <w:szCs w:val="24"/>
                <w:highlight w:val="none"/>
              </w:rPr>
              <w:t>第五章“技术和服务要求</w:t>
            </w:r>
            <w:r>
              <w:rPr>
                <w:rFonts w:hint="eastAsia" w:ascii="宋体" w:hAnsi="宋体" w:eastAsia="宋体" w:cs="宋体"/>
                <w:color w:val="auto"/>
                <w:kern w:val="0"/>
                <w:sz w:val="24"/>
                <w:szCs w:val="24"/>
                <w:highlight w:val="none"/>
                <w:lang w:val="en-US" w:eastAsia="zh-CN" w:bidi="ar"/>
              </w:rPr>
              <w:t>”中“(一）服务内容”，每负偏离一项扣1.5分。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人员配置方案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根据各投标人结合本项目的实际情况制定人员配置方案：①岗位设置，②各岗位人数配备情况，③培训方案、奖惩制度。</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保洁服务方案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根据各投标人针对本项目提供的保洁服务方案：①卫生保洁服务内容，②保洁作业流程、服务质量标准，③环境消杀（常规四害消杀：苍蝇、蚊虫、老鼠、蟑螂及红白蚂蚁)及防疫消毒等工作。</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4、</w:t>
            </w:r>
            <w:r>
              <w:rPr>
                <w:rFonts w:ascii="宋体" w:hAnsi="宋体" w:eastAsia="宋体" w:cs="宋体"/>
                <w:color w:val="auto"/>
                <w:kern w:val="0"/>
                <w:sz w:val="24"/>
                <w:szCs w:val="24"/>
                <w:highlight w:val="none"/>
                <w:lang w:val="en-US" w:eastAsia="zh-CN" w:bidi="ar"/>
              </w:rPr>
              <w:t>会务服务方案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根据投标人针对本项目提供的会务服务方案：①会务服务内容，②服务作业流程，③服务质量标准。</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5、</w:t>
            </w:r>
            <w:r>
              <w:rPr>
                <w:rFonts w:ascii="宋体" w:hAnsi="宋体" w:eastAsia="宋体" w:cs="宋体"/>
                <w:color w:val="auto"/>
                <w:kern w:val="0"/>
                <w:sz w:val="24"/>
                <w:szCs w:val="24"/>
                <w:highlight w:val="none"/>
                <w:lang w:val="en-US" w:eastAsia="zh-CN" w:bidi="ar"/>
              </w:rPr>
              <w:t>设备设施管理方案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根据各投标人针对本项目提供的设施设备管理维护方案：①设施设备日常运行维护方案，②突发性故障应急处理方案，③节能降耗方案。</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6、</w:t>
            </w:r>
            <w:r>
              <w:rPr>
                <w:rFonts w:ascii="宋体" w:hAnsi="宋体" w:eastAsia="宋体" w:cs="宋体"/>
                <w:color w:val="auto"/>
                <w:kern w:val="0"/>
                <w:sz w:val="24"/>
                <w:szCs w:val="24"/>
                <w:highlight w:val="none"/>
                <w:lang w:val="en-US" w:eastAsia="zh-CN" w:bidi="ar"/>
              </w:rPr>
              <w:t>消防管理方案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根据各投标人针对本项目提供的消防管理方案：①消防管理服务日常运行维护，②定期检修消防设备，③突发性故障应急处理、消防演练方案。</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7、</w:t>
            </w:r>
            <w:r>
              <w:rPr>
                <w:rFonts w:ascii="宋体" w:hAnsi="宋体" w:eastAsia="宋体" w:cs="宋体"/>
                <w:color w:val="auto"/>
                <w:kern w:val="0"/>
                <w:sz w:val="24"/>
                <w:szCs w:val="24"/>
                <w:highlight w:val="none"/>
                <w:lang w:val="en-US" w:eastAsia="zh-CN" w:bidi="ar"/>
              </w:rPr>
              <w:t>应急处理预案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根据各投标人针对本项目提供的应急处理预案：①火灾地震，②台风暴雨、电梯困人，③突发疫情制定相应的应急预案。</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8、</w:t>
            </w:r>
            <w:r>
              <w:rPr>
                <w:rFonts w:ascii="宋体" w:hAnsi="宋体" w:eastAsia="宋体" w:cs="宋体"/>
                <w:color w:val="auto"/>
                <w:kern w:val="0"/>
                <w:sz w:val="24"/>
                <w:szCs w:val="24"/>
                <w:highlight w:val="none"/>
                <w:lang w:val="en-US" w:eastAsia="zh-CN" w:bidi="ar"/>
              </w:rPr>
              <w:t>日常运营管理方案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根据各投标人针对本项目提供的</w:t>
            </w:r>
            <w:r>
              <w:rPr>
                <w:rFonts w:hint="eastAsia" w:ascii="宋体" w:hAnsi="宋体" w:eastAsia="宋体" w:cs="宋体"/>
                <w:color w:val="auto"/>
                <w:kern w:val="0"/>
                <w:sz w:val="24"/>
                <w:szCs w:val="24"/>
                <w:highlight w:val="none"/>
                <w:lang w:val="en-US" w:eastAsia="zh-CN" w:bidi="ar"/>
              </w:rPr>
              <w:t>文化活动中心</w:t>
            </w:r>
            <w:r>
              <w:rPr>
                <w:rFonts w:ascii="宋体" w:hAnsi="宋体" w:eastAsia="宋体" w:cs="宋体"/>
                <w:color w:val="auto"/>
                <w:kern w:val="0"/>
                <w:sz w:val="24"/>
                <w:szCs w:val="24"/>
                <w:highlight w:val="none"/>
                <w:lang w:val="en-US" w:eastAsia="zh-CN" w:bidi="ar"/>
              </w:rPr>
              <w:t>管理方案：①</w:t>
            </w:r>
            <w:r>
              <w:rPr>
                <w:rFonts w:hint="eastAsia" w:ascii="宋体" w:hAnsi="宋体" w:eastAsia="宋体" w:cs="宋体"/>
                <w:color w:val="auto"/>
                <w:kern w:val="0"/>
                <w:sz w:val="24"/>
                <w:szCs w:val="24"/>
                <w:highlight w:val="none"/>
                <w:lang w:val="en-US" w:eastAsia="zh-CN" w:bidi="ar"/>
              </w:rPr>
              <w:t>文化活动中心</w:t>
            </w:r>
            <w:r>
              <w:rPr>
                <w:rFonts w:ascii="宋体" w:hAnsi="宋体" w:eastAsia="宋体" w:cs="宋体"/>
                <w:color w:val="auto"/>
                <w:kern w:val="0"/>
                <w:sz w:val="24"/>
                <w:szCs w:val="24"/>
                <w:highlight w:val="none"/>
                <w:lang w:val="en-US" w:eastAsia="zh-CN" w:bidi="ar"/>
              </w:rPr>
              <w:t>安检管理方案，</w:t>
            </w:r>
            <w:r>
              <w:rPr>
                <w:rFonts w:hint="eastAsia" w:ascii="宋体" w:hAnsi="宋体" w:eastAsia="宋体" w:cs="宋体"/>
                <w:color w:val="auto"/>
                <w:kern w:val="0"/>
                <w:sz w:val="24"/>
                <w:szCs w:val="24"/>
                <w:highlight w:val="none"/>
                <w:lang w:val="en-US" w:eastAsia="zh-CN" w:bidi="ar"/>
              </w:rPr>
              <w:t>文化活动中心</w:t>
            </w:r>
            <w:r>
              <w:rPr>
                <w:rFonts w:ascii="宋体" w:hAnsi="宋体" w:eastAsia="宋体" w:cs="宋体"/>
                <w:color w:val="auto"/>
                <w:kern w:val="0"/>
                <w:sz w:val="24"/>
                <w:szCs w:val="24"/>
                <w:highlight w:val="none"/>
                <w:lang w:val="en-US" w:eastAsia="zh-CN" w:bidi="ar"/>
              </w:rPr>
              <w:t>安保管理及疫情防控管理方案，②临时</w:t>
            </w:r>
            <w:r>
              <w:rPr>
                <w:rFonts w:hint="eastAsia" w:ascii="宋体" w:hAnsi="宋体" w:eastAsia="宋体" w:cs="宋体"/>
                <w:color w:val="auto"/>
                <w:kern w:val="0"/>
                <w:sz w:val="24"/>
                <w:szCs w:val="24"/>
                <w:highlight w:val="none"/>
                <w:lang w:val="en-US" w:eastAsia="zh-CN" w:bidi="ar"/>
              </w:rPr>
              <w:t>性活动</w:t>
            </w:r>
            <w:r>
              <w:rPr>
                <w:rFonts w:ascii="宋体" w:hAnsi="宋体" w:eastAsia="宋体" w:cs="宋体"/>
                <w:color w:val="auto"/>
                <w:kern w:val="0"/>
                <w:sz w:val="24"/>
                <w:szCs w:val="24"/>
                <w:highlight w:val="none"/>
                <w:lang w:val="en-US" w:eastAsia="zh-CN" w:bidi="ar"/>
              </w:rPr>
              <w:t>管理方案，多媒体展示设备及会议设备管理方案，③</w:t>
            </w:r>
            <w:r>
              <w:rPr>
                <w:rFonts w:hint="eastAsia" w:ascii="宋体" w:hAnsi="宋体" w:eastAsia="宋体" w:cs="宋体"/>
                <w:color w:val="auto"/>
                <w:kern w:val="0"/>
                <w:sz w:val="24"/>
                <w:szCs w:val="24"/>
                <w:highlight w:val="none"/>
                <w:lang w:val="en-US" w:eastAsia="zh-CN" w:bidi="ar"/>
              </w:rPr>
              <w:t>文化活动中心</w:t>
            </w:r>
            <w:r>
              <w:rPr>
                <w:rFonts w:ascii="宋体" w:hAnsi="宋体" w:eastAsia="宋体" w:cs="宋体"/>
                <w:color w:val="auto"/>
                <w:kern w:val="0"/>
                <w:sz w:val="24"/>
                <w:szCs w:val="24"/>
                <w:highlight w:val="none"/>
                <w:lang w:val="en-US" w:eastAsia="zh-CN" w:bidi="ar"/>
              </w:rPr>
              <w:t>突发</w:t>
            </w:r>
            <w:r>
              <w:rPr>
                <w:rFonts w:hint="eastAsia" w:ascii="宋体" w:hAnsi="宋体" w:cs="宋体"/>
                <w:color w:val="auto"/>
                <w:kern w:val="0"/>
                <w:sz w:val="24"/>
                <w:szCs w:val="24"/>
                <w:highlight w:val="none"/>
                <w:lang w:val="en-US" w:eastAsia="zh-CN" w:bidi="ar"/>
              </w:rPr>
              <w:t>事件</w:t>
            </w:r>
            <w:r>
              <w:rPr>
                <w:rFonts w:ascii="宋体" w:hAnsi="宋体" w:eastAsia="宋体" w:cs="宋体"/>
                <w:color w:val="auto"/>
                <w:kern w:val="0"/>
                <w:sz w:val="24"/>
                <w:szCs w:val="24"/>
                <w:highlight w:val="none"/>
                <w:lang w:val="en-US" w:eastAsia="zh-CN" w:bidi="ar"/>
              </w:rPr>
              <w:t>预案管理方案。</w:t>
            </w:r>
            <w:r>
              <w:rPr>
                <w:rFonts w:ascii="宋体" w:hAnsi="宋体" w:eastAsia="宋体" w:cs="宋体"/>
                <w:color w:val="auto"/>
                <w:sz w:val="24"/>
                <w:szCs w:val="24"/>
                <w:highlight w:val="none"/>
              </w:rPr>
              <w:t>方案内容详实</w:t>
            </w:r>
            <w:r>
              <w:rPr>
                <w:rFonts w:hint="eastAsia" w:ascii="宋体" w:hAnsi="宋体" w:cs="宋体"/>
                <w:color w:val="auto"/>
                <w:sz w:val="24"/>
                <w:szCs w:val="24"/>
                <w:highlight w:val="none"/>
                <w:lang w:val="en-US" w:eastAsia="zh-CN"/>
              </w:rPr>
              <w:t>且</w:t>
            </w:r>
            <w:r>
              <w:rPr>
                <w:rFonts w:ascii="宋体" w:hAnsi="宋体" w:eastAsia="宋体" w:cs="宋体"/>
                <w:color w:val="auto"/>
                <w:sz w:val="24"/>
                <w:szCs w:val="24"/>
                <w:highlight w:val="none"/>
              </w:rPr>
              <w:t>符合</w:t>
            </w:r>
            <w:r>
              <w:rPr>
                <w:rFonts w:ascii="宋体" w:hAnsi="宋体" w:eastAsia="宋体" w:cs="宋体"/>
                <w:color w:val="auto"/>
                <w:kern w:val="0"/>
                <w:sz w:val="24"/>
                <w:szCs w:val="24"/>
                <w:highlight w:val="none"/>
                <w:lang w:val="en-US" w:eastAsia="zh-CN" w:bidi="ar"/>
              </w:rPr>
              <w:t>本项目</w:t>
            </w:r>
            <w:r>
              <w:rPr>
                <w:rFonts w:ascii="宋体" w:hAnsi="宋体" w:eastAsia="宋体" w:cs="宋体"/>
                <w:color w:val="auto"/>
                <w:sz w:val="24"/>
                <w:szCs w:val="24"/>
                <w:highlight w:val="none"/>
              </w:rPr>
              <w:t>采购</w:t>
            </w:r>
            <w:r>
              <w:rPr>
                <w:rFonts w:hint="eastAsia" w:ascii="宋体" w:hAnsi="宋体" w:cs="宋体"/>
                <w:color w:val="auto"/>
                <w:sz w:val="24"/>
                <w:szCs w:val="24"/>
                <w:highlight w:val="none"/>
                <w:lang w:val="en-US" w:eastAsia="zh-CN"/>
              </w:rPr>
              <w:t>要求</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9、</w:t>
            </w:r>
            <w:r>
              <w:rPr>
                <w:rFonts w:ascii="宋体" w:hAnsi="宋体" w:eastAsia="宋体" w:cs="宋体"/>
                <w:color w:val="auto"/>
                <w:kern w:val="0"/>
                <w:sz w:val="24"/>
                <w:szCs w:val="24"/>
                <w:highlight w:val="none"/>
                <w:lang w:val="en-US" w:eastAsia="zh-CN" w:bidi="ar"/>
              </w:rPr>
              <w:t>管理规章制度与档案管理方案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根据各投标人针对本项目制定的各项管理规章制度与档案管理方案：①日常管理规章制度内容，②日常档案管理内容，③信息化建立档案管理流程。</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r>
              <w:rPr>
                <w:rFonts w:hint="eastAsia" w:ascii="宋体" w:hAnsi="宋体" w:cs="宋体"/>
                <w:bCs/>
                <w:color w:val="auto"/>
                <w:sz w:val="24"/>
                <w:szCs w:val="24"/>
                <w:highlight w:val="none"/>
                <w:lang w:val="en-US" w:eastAsia="zh-CN"/>
              </w:rPr>
              <w:t>0</w:t>
            </w:r>
            <w:r>
              <w:rPr>
                <w:rFonts w:hint="eastAsia" w:ascii="宋体" w:hAnsi="宋体" w:eastAsia="宋体" w:cs="宋体"/>
                <w:bCs/>
                <w:color w:val="auto"/>
                <w:sz w:val="24"/>
                <w:szCs w:val="24"/>
                <w:highlight w:val="none"/>
                <w:lang w:val="en-US" w:eastAsia="zh-CN"/>
              </w:rPr>
              <w:t>、过渡期物业服务交接方案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根据各投标人针对本项目提供的过渡交接计划安排与组织实施方案：①人员交接、过渡交接服务方案；②移交资料保管、资产不流失预案；③整体平稳过渡计划及应急预案</w:t>
            </w:r>
            <w:r>
              <w:rPr>
                <w:rFonts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11、</w:t>
            </w:r>
            <w:r>
              <w:rPr>
                <w:rFonts w:hint="eastAsia" w:ascii="宋体" w:hAnsi="宋体" w:eastAsia="宋体" w:cs="宋体"/>
                <w:bCs/>
                <w:color w:val="auto"/>
                <w:sz w:val="24"/>
                <w:szCs w:val="24"/>
                <w:highlight w:val="none"/>
                <w:lang w:val="en-US" w:eastAsia="zh-CN"/>
              </w:rPr>
              <w:t>秩序维护服务方案</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根据各投标人提供的秩序维护服务方案</w:t>
            </w:r>
            <w:r>
              <w:rPr>
                <w:rFonts w:hint="eastAsia" w:ascii="宋体" w:hAnsi="宋体" w:eastAsia="宋体" w:cs="宋体"/>
                <w:color w:val="auto"/>
                <w:sz w:val="24"/>
                <w:szCs w:val="24"/>
                <w:highlight w:val="none"/>
                <w:lang w:eastAsia="zh-CN"/>
              </w:rPr>
              <w:t>进行评分。</w:t>
            </w:r>
            <w:r>
              <w:rPr>
                <w:rFonts w:ascii="宋体" w:hAnsi="宋体" w:eastAsia="宋体" w:cs="宋体"/>
                <w:color w:val="auto"/>
                <w:kern w:val="0"/>
                <w:sz w:val="24"/>
                <w:szCs w:val="24"/>
                <w:highlight w:val="none"/>
                <w:lang w:val="en-US" w:eastAsia="zh-CN" w:bidi="ar"/>
              </w:rPr>
              <w:t>①</w:t>
            </w:r>
            <w:r>
              <w:rPr>
                <w:rFonts w:hint="eastAsia" w:ascii="宋体" w:hAnsi="宋体" w:eastAsia="宋体" w:cs="宋体"/>
                <w:bCs/>
                <w:color w:val="auto"/>
                <w:sz w:val="24"/>
                <w:szCs w:val="24"/>
                <w:highlight w:val="none"/>
                <w:lang w:val="en-US" w:eastAsia="zh-CN"/>
              </w:rPr>
              <w:t>各个岗位执勤值班</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治安秩序维护</w:t>
            </w:r>
            <w:r>
              <w:rPr>
                <w:rFonts w:hint="eastAsia" w:ascii="宋体" w:hAnsi="宋体" w:cs="宋体"/>
                <w:bCs/>
                <w:color w:val="auto"/>
                <w:sz w:val="24"/>
                <w:szCs w:val="24"/>
                <w:highlight w:val="none"/>
                <w:lang w:val="en-US" w:eastAsia="zh-CN"/>
              </w:rPr>
              <w:t>，</w:t>
            </w:r>
            <w:r>
              <w:rPr>
                <w:rFonts w:ascii="宋体" w:hAnsi="宋体" w:eastAsia="宋体" w:cs="宋体"/>
                <w:color w:val="auto"/>
                <w:kern w:val="0"/>
                <w:sz w:val="24"/>
                <w:szCs w:val="24"/>
                <w:highlight w:val="none"/>
                <w:lang w:val="en-US" w:eastAsia="zh-CN" w:bidi="ar"/>
              </w:rPr>
              <w:t>②</w:t>
            </w:r>
            <w:r>
              <w:rPr>
                <w:rFonts w:hint="eastAsia" w:ascii="宋体" w:hAnsi="宋体" w:eastAsia="宋体" w:cs="宋体"/>
                <w:bCs/>
                <w:color w:val="auto"/>
                <w:sz w:val="24"/>
                <w:szCs w:val="24"/>
                <w:highlight w:val="none"/>
                <w:lang w:val="en-US" w:eastAsia="zh-CN"/>
              </w:rPr>
              <w:t>车辆停放引导管控，③消控岗管理，协助相关部门处置突发事件等安全维护措施</w:t>
            </w:r>
            <w:r>
              <w:rPr>
                <w:rFonts w:hint="eastAsia" w:ascii="宋体" w:hAnsi="宋体" w:cs="宋体"/>
                <w:bCs/>
                <w:color w:val="auto"/>
                <w:sz w:val="24"/>
                <w:szCs w:val="24"/>
                <w:highlight w:val="none"/>
                <w:lang w:val="en-US" w:eastAsia="zh-CN"/>
              </w:rPr>
              <w:t>。</w:t>
            </w:r>
            <w:r>
              <w:rPr>
                <w:rFonts w:hint="eastAsia" w:ascii="宋体" w:hAnsi="宋体" w:cs="宋体"/>
                <w:color w:val="auto"/>
                <w:kern w:val="0"/>
                <w:sz w:val="24"/>
                <w:szCs w:val="24"/>
                <w:highlight w:val="none"/>
                <w:lang w:val="en-US" w:eastAsia="zh-CN" w:bidi="ar"/>
              </w:rPr>
              <w:t>至少</w:t>
            </w:r>
            <w:r>
              <w:rPr>
                <w:rFonts w:ascii="宋体" w:hAnsi="宋体" w:eastAsia="宋体" w:cs="宋体"/>
                <w:color w:val="auto"/>
                <w:kern w:val="0"/>
                <w:sz w:val="24"/>
                <w:szCs w:val="24"/>
                <w:highlight w:val="none"/>
                <w:lang w:val="en-US" w:eastAsia="zh-CN" w:bidi="ar"/>
              </w:rPr>
              <w:t>包含以上小点</w:t>
            </w:r>
            <w:r>
              <w:rPr>
                <w:rFonts w:hint="eastAsia" w:ascii="宋体" w:hAnsi="宋体" w:cs="宋体"/>
                <w:color w:val="auto"/>
                <w:kern w:val="0"/>
                <w:sz w:val="24"/>
                <w:szCs w:val="24"/>
                <w:highlight w:val="none"/>
                <w:lang w:val="en-US" w:eastAsia="zh-CN" w:bidi="ar"/>
              </w:rPr>
              <w:t>，</w:t>
            </w:r>
            <w:r>
              <w:rPr>
                <w:rFonts w:hint="eastAsia" w:ascii="宋体" w:hAnsi="宋体" w:eastAsia="宋体" w:cs="宋体"/>
                <w:caps w:val="0"/>
                <w:color w:val="auto"/>
                <w:spacing w:val="0"/>
                <w:kern w:val="0"/>
                <w:sz w:val="24"/>
                <w:szCs w:val="24"/>
                <w:highlight w:val="none"/>
                <w:lang w:val="en-US" w:eastAsia="zh-CN" w:bidi="ar"/>
              </w:rPr>
              <w:t>由评委进行评分</w:t>
            </w:r>
            <w:r>
              <w:rPr>
                <w:rFonts w:hint="eastAsia" w:ascii="宋体" w:hAnsi="宋体" w:cs="宋体"/>
                <w:caps w:val="0"/>
                <w:color w:val="auto"/>
                <w:spacing w:val="0"/>
                <w:kern w:val="0"/>
                <w:sz w:val="24"/>
                <w:szCs w:val="24"/>
                <w:highlight w:val="none"/>
                <w:lang w:val="en-US" w:eastAsia="zh-CN" w:bidi="ar"/>
              </w:rPr>
              <w:t>，满分3分。</w:t>
            </w:r>
            <w:r>
              <w:rPr>
                <w:rFonts w:hint="eastAsia" w:ascii="宋体" w:hAnsi="宋体" w:eastAsia="宋体" w:cs="宋体"/>
                <w:caps w:val="0"/>
                <w:color w:val="auto"/>
                <w:spacing w:val="0"/>
                <w:kern w:val="0"/>
                <w:sz w:val="24"/>
                <w:szCs w:val="24"/>
                <w:highlight w:val="none"/>
                <w:lang w:val="en-US" w:eastAsia="zh-CN" w:bidi="ar"/>
              </w:rPr>
              <w:t>方案详细合理、符合实际需求、可行性强、描述清晰、内容完整的得</w:t>
            </w:r>
            <w:r>
              <w:rPr>
                <w:rFonts w:hint="eastAsia" w:ascii="宋体" w:hAnsi="宋体" w:cs="宋体"/>
                <w:caps w:val="0"/>
                <w:color w:val="auto"/>
                <w:spacing w:val="0"/>
                <w:kern w:val="0"/>
                <w:sz w:val="24"/>
                <w:szCs w:val="24"/>
                <w:highlight w:val="none"/>
                <w:lang w:val="en-US" w:eastAsia="zh-CN" w:bidi="ar"/>
              </w:rPr>
              <w:t>3</w:t>
            </w:r>
            <w:r>
              <w:rPr>
                <w:rFonts w:hint="eastAsia" w:ascii="宋体" w:hAnsi="宋体" w:eastAsia="宋体" w:cs="宋体"/>
                <w:caps w:val="0"/>
                <w:color w:val="auto"/>
                <w:spacing w:val="0"/>
                <w:kern w:val="0"/>
                <w:sz w:val="24"/>
                <w:szCs w:val="24"/>
                <w:highlight w:val="none"/>
                <w:lang w:val="en-US" w:eastAsia="zh-CN" w:bidi="ar"/>
              </w:rPr>
              <w:t>分；方案详细合理但与实际有偏差、可行性一般、描述</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清晰、内容不够完整的得</w:t>
            </w:r>
            <w:r>
              <w:rPr>
                <w:rFonts w:hint="eastAsia" w:ascii="宋体" w:hAnsi="宋体" w:cs="宋体"/>
                <w:caps w:val="0"/>
                <w:color w:val="auto"/>
                <w:spacing w:val="0"/>
                <w:kern w:val="0"/>
                <w:sz w:val="24"/>
                <w:szCs w:val="24"/>
                <w:highlight w:val="none"/>
                <w:lang w:val="en-US" w:eastAsia="zh-CN" w:bidi="ar"/>
              </w:rPr>
              <w:t>2.75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不够</w:t>
            </w:r>
            <w:r>
              <w:rPr>
                <w:rFonts w:hint="eastAsia" w:ascii="宋体" w:hAnsi="宋体" w:eastAsia="宋体" w:cs="宋体"/>
                <w:caps w:val="0"/>
                <w:color w:val="auto"/>
                <w:spacing w:val="0"/>
                <w:kern w:val="0"/>
                <w:sz w:val="24"/>
                <w:szCs w:val="24"/>
                <w:highlight w:val="none"/>
                <w:lang w:val="en-US" w:eastAsia="zh-CN" w:bidi="ar"/>
              </w:rPr>
              <w:t>详细</w:t>
            </w:r>
            <w:r>
              <w:rPr>
                <w:rFonts w:hint="eastAsia" w:ascii="宋体" w:hAnsi="宋体" w:cs="宋体"/>
                <w:caps w:val="0"/>
                <w:color w:val="auto"/>
                <w:spacing w:val="0"/>
                <w:kern w:val="0"/>
                <w:sz w:val="24"/>
                <w:szCs w:val="24"/>
                <w:highlight w:val="none"/>
                <w:lang w:val="en-US" w:eastAsia="zh-CN" w:bidi="ar"/>
              </w:rPr>
              <w:t>合理、</w:t>
            </w:r>
            <w:r>
              <w:rPr>
                <w:rFonts w:hint="eastAsia" w:ascii="宋体" w:hAnsi="宋体" w:eastAsia="宋体" w:cs="宋体"/>
                <w:caps w:val="0"/>
                <w:color w:val="auto"/>
                <w:spacing w:val="0"/>
                <w:kern w:val="0"/>
                <w:sz w:val="24"/>
                <w:szCs w:val="24"/>
                <w:highlight w:val="none"/>
                <w:lang w:val="en-US" w:eastAsia="zh-CN" w:bidi="ar"/>
              </w:rPr>
              <w:t>与实际有偏差、描述</w:t>
            </w:r>
            <w:r>
              <w:rPr>
                <w:rFonts w:hint="eastAsia" w:ascii="宋体" w:hAnsi="宋体" w:cs="宋体"/>
                <w:caps w:val="0"/>
                <w:color w:val="auto"/>
                <w:spacing w:val="0"/>
                <w:kern w:val="0"/>
                <w:sz w:val="24"/>
                <w:szCs w:val="24"/>
                <w:highlight w:val="none"/>
                <w:lang w:val="en-US" w:eastAsia="zh-CN" w:bidi="ar"/>
              </w:rPr>
              <w:t>不</w:t>
            </w:r>
            <w:r>
              <w:rPr>
                <w:rFonts w:hint="eastAsia" w:ascii="宋体" w:hAnsi="宋体" w:eastAsia="宋体" w:cs="宋体"/>
                <w:caps w:val="0"/>
                <w:color w:val="auto"/>
                <w:spacing w:val="0"/>
                <w:kern w:val="0"/>
                <w:sz w:val="24"/>
                <w:szCs w:val="24"/>
                <w:highlight w:val="none"/>
                <w:lang w:val="en-US" w:eastAsia="zh-CN" w:bidi="ar"/>
              </w:rPr>
              <w:t>清晰、可行性</w:t>
            </w:r>
            <w:r>
              <w:rPr>
                <w:rFonts w:hint="eastAsia" w:ascii="宋体" w:hAnsi="宋体" w:cs="宋体"/>
                <w:caps w:val="0"/>
                <w:color w:val="auto"/>
                <w:spacing w:val="0"/>
                <w:kern w:val="0"/>
                <w:sz w:val="24"/>
                <w:szCs w:val="24"/>
                <w:highlight w:val="none"/>
                <w:lang w:val="en-US" w:eastAsia="zh-CN" w:bidi="ar"/>
              </w:rPr>
              <w:t>差</w:t>
            </w:r>
            <w:r>
              <w:rPr>
                <w:rFonts w:hint="eastAsia" w:ascii="宋体" w:hAnsi="宋体" w:eastAsia="宋体" w:cs="宋体"/>
                <w:caps w:val="0"/>
                <w:color w:val="auto"/>
                <w:spacing w:val="0"/>
                <w:kern w:val="0"/>
                <w:sz w:val="24"/>
                <w:szCs w:val="24"/>
                <w:highlight w:val="none"/>
                <w:lang w:val="en-US" w:eastAsia="zh-CN" w:bidi="ar"/>
              </w:rPr>
              <w:t>、内容不完整得</w:t>
            </w:r>
            <w:r>
              <w:rPr>
                <w:rFonts w:hint="eastAsia" w:ascii="宋体" w:hAnsi="宋体" w:cs="宋体"/>
                <w:caps w:val="0"/>
                <w:color w:val="auto"/>
                <w:spacing w:val="0"/>
                <w:kern w:val="0"/>
                <w:sz w:val="24"/>
                <w:szCs w:val="24"/>
                <w:highlight w:val="none"/>
                <w:lang w:val="en-US" w:eastAsia="zh-CN" w:bidi="ar"/>
              </w:rPr>
              <w:t>2.5</w:t>
            </w:r>
            <w:r>
              <w:rPr>
                <w:rFonts w:hint="eastAsia" w:ascii="宋体" w:hAnsi="宋体" w:eastAsia="宋体" w:cs="宋体"/>
                <w:caps w:val="0"/>
                <w:color w:val="auto"/>
                <w:spacing w:val="0"/>
                <w:kern w:val="0"/>
                <w:sz w:val="24"/>
                <w:szCs w:val="24"/>
                <w:highlight w:val="none"/>
                <w:lang w:val="en-US" w:eastAsia="zh-CN" w:bidi="ar"/>
              </w:rPr>
              <w:t>分；方案</w:t>
            </w:r>
            <w:r>
              <w:rPr>
                <w:rFonts w:hint="eastAsia" w:ascii="宋体" w:hAnsi="宋体" w:cs="宋体"/>
                <w:caps w:val="0"/>
                <w:color w:val="auto"/>
                <w:spacing w:val="0"/>
                <w:kern w:val="0"/>
                <w:sz w:val="24"/>
                <w:szCs w:val="24"/>
                <w:highlight w:val="none"/>
                <w:lang w:val="en-US" w:eastAsia="zh-CN" w:bidi="ar"/>
              </w:rPr>
              <w:t>完全</w:t>
            </w:r>
            <w:r>
              <w:rPr>
                <w:rFonts w:hint="eastAsia" w:ascii="宋体" w:hAnsi="宋体" w:eastAsia="宋体" w:cs="宋体"/>
                <w:caps w:val="0"/>
                <w:color w:val="auto"/>
                <w:spacing w:val="0"/>
                <w:kern w:val="0"/>
                <w:sz w:val="24"/>
                <w:szCs w:val="24"/>
                <w:highlight w:val="none"/>
                <w:lang w:val="en-US" w:eastAsia="zh-CN" w:bidi="ar"/>
              </w:rPr>
              <w:t>不合理或未提供的不得分。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12、团队人员配置（物业主任）</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满足招标文件文化活动中心物业管理人员配备中素质要求的基础上，主任具有</w:t>
            </w:r>
            <w:r>
              <w:rPr>
                <w:rFonts w:hint="eastAsia" w:ascii="宋体" w:hAnsi="宋体" w:eastAsia="宋体" w:cs="宋体"/>
                <w:bCs/>
                <w:color w:val="auto"/>
                <w:sz w:val="24"/>
                <w:szCs w:val="24"/>
                <w:highlight w:val="none"/>
                <w:lang w:val="en-US" w:eastAsia="zh-CN"/>
              </w:rPr>
              <w:t>①</w:t>
            </w:r>
            <w:r>
              <w:rPr>
                <w:rFonts w:ascii="宋体" w:hAnsi="宋体" w:eastAsia="宋体" w:cs="宋体"/>
                <w:color w:val="auto"/>
                <w:sz w:val="24"/>
                <w:szCs w:val="24"/>
                <w:highlight w:val="none"/>
              </w:rPr>
              <w:t>具有</w:t>
            </w:r>
            <w:r>
              <w:rPr>
                <w:rFonts w:hint="eastAsia" w:ascii="宋体" w:hAnsi="宋体" w:cs="宋体"/>
                <w:color w:val="auto"/>
                <w:sz w:val="24"/>
                <w:szCs w:val="24"/>
                <w:highlight w:val="none"/>
                <w:lang w:val="en-US" w:eastAsia="zh-CN"/>
              </w:rPr>
              <w:t>5</w:t>
            </w:r>
            <w:r>
              <w:rPr>
                <w:rFonts w:ascii="宋体" w:hAnsi="宋体" w:eastAsia="宋体" w:cs="宋体"/>
                <w:color w:val="auto"/>
                <w:sz w:val="24"/>
                <w:szCs w:val="24"/>
                <w:highlight w:val="none"/>
              </w:rPr>
              <w:t>年（含</w:t>
            </w:r>
            <w:r>
              <w:rPr>
                <w:rFonts w:hint="eastAsia" w:ascii="宋体" w:hAnsi="宋体" w:cs="宋体"/>
                <w:color w:val="auto"/>
                <w:sz w:val="24"/>
                <w:szCs w:val="24"/>
                <w:highlight w:val="none"/>
                <w:lang w:val="en-US" w:eastAsia="zh-CN"/>
              </w:rPr>
              <w:t>5</w:t>
            </w:r>
            <w:r>
              <w:rPr>
                <w:rFonts w:ascii="宋体" w:hAnsi="宋体" w:eastAsia="宋体" w:cs="宋体"/>
                <w:color w:val="auto"/>
                <w:sz w:val="24"/>
                <w:szCs w:val="24"/>
                <w:highlight w:val="none"/>
              </w:rPr>
              <w:t>年）以上物业项目经理岗位工作经验</w:t>
            </w:r>
            <w:r>
              <w:rPr>
                <w:rFonts w:hint="eastAsia" w:ascii="宋体" w:hAnsi="宋体" w:cs="宋体"/>
                <w:color w:val="auto"/>
                <w:sz w:val="24"/>
                <w:szCs w:val="24"/>
                <w:highlight w:val="none"/>
                <w:lang w:eastAsia="zh-CN"/>
              </w:rPr>
              <w:t>；</w:t>
            </w:r>
            <w:r>
              <w:rPr>
                <w:rFonts w:ascii="宋体" w:hAnsi="宋体" w:eastAsia="宋体" w:cs="宋体"/>
                <w:color w:val="auto"/>
                <w:kern w:val="0"/>
                <w:sz w:val="24"/>
                <w:szCs w:val="24"/>
                <w:highlight w:val="none"/>
                <w:lang w:val="en-US" w:eastAsia="zh-CN" w:bidi="ar"/>
              </w:rPr>
              <w:t>②</w:t>
            </w:r>
            <w:r>
              <w:rPr>
                <w:rFonts w:ascii="宋体" w:hAnsi="宋体" w:eastAsia="宋体" w:cs="宋体"/>
                <w:color w:val="auto"/>
                <w:sz w:val="24"/>
                <w:szCs w:val="24"/>
                <w:highlight w:val="none"/>
              </w:rPr>
              <w:t>持有</w:t>
            </w:r>
            <w:r>
              <w:rPr>
                <w:rFonts w:hint="eastAsia" w:ascii="宋体" w:hAnsi="宋体" w:eastAsia="宋体" w:cs="宋体"/>
                <w:color w:val="auto"/>
                <w:sz w:val="24"/>
                <w:szCs w:val="24"/>
                <w:highlight w:val="none"/>
                <w:lang w:eastAsia="zh-CN"/>
              </w:rPr>
              <w:t>二级</w:t>
            </w:r>
            <w:r>
              <w:rPr>
                <w:rFonts w:hint="eastAsia" w:ascii="宋体" w:hAnsi="宋体" w:eastAsia="宋体" w:cs="宋体"/>
                <w:color w:val="auto"/>
                <w:sz w:val="24"/>
                <w:szCs w:val="24"/>
                <w:highlight w:val="none"/>
                <w:lang w:val="en-US" w:eastAsia="zh-CN"/>
              </w:rPr>
              <w:t>/技师（含）以上企业人力资源管理师职业资格证书；</w:t>
            </w:r>
            <w:r>
              <w:rPr>
                <w:rFonts w:hint="default" w:ascii="宋体" w:hAnsi="宋体" w:eastAsia="宋体" w:cs="宋体"/>
                <w:bCs/>
                <w:color w:val="auto"/>
                <w:sz w:val="24"/>
                <w:szCs w:val="24"/>
                <w:highlight w:val="none"/>
                <w:lang w:val="en-US" w:eastAsia="zh-CN"/>
              </w:rPr>
              <w:t>③</w:t>
            </w:r>
            <w:r>
              <w:rPr>
                <w:rFonts w:hint="eastAsia" w:ascii="宋体" w:hAnsi="宋体" w:eastAsia="宋体" w:cs="宋体"/>
                <w:bCs/>
                <w:color w:val="auto"/>
                <w:sz w:val="24"/>
                <w:szCs w:val="24"/>
                <w:highlight w:val="none"/>
                <w:lang w:val="en-US" w:eastAsia="zh-CN"/>
              </w:rPr>
              <w:t>获得政府行政主管部门授予的优秀项目经理荣誉证书的，</w:t>
            </w:r>
            <w:r>
              <w:rPr>
                <w:rFonts w:ascii="宋体" w:hAnsi="宋体" w:eastAsia="宋体" w:cs="宋体"/>
                <w:color w:val="auto"/>
                <w:sz w:val="24"/>
                <w:szCs w:val="24"/>
                <w:highlight w:val="none"/>
              </w:rPr>
              <w:t>满足以上条件</w:t>
            </w:r>
            <w:r>
              <w:rPr>
                <w:rFonts w:ascii="宋体" w:hAnsi="宋体" w:eastAsia="宋体" w:cs="宋体"/>
                <w:color w:val="auto"/>
                <w:kern w:val="0"/>
                <w:sz w:val="24"/>
                <w:szCs w:val="24"/>
                <w:highlight w:val="none"/>
                <w:lang w:val="en-US" w:eastAsia="zh-CN" w:bidi="ar"/>
              </w:rPr>
              <w:t>的每点得1分</w:t>
            </w:r>
            <w:r>
              <w:rPr>
                <w:rFonts w:hint="eastAsia" w:ascii="宋体" w:hAnsi="宋体" w:cs="宋体"/>
                <w:color w:val="auto"/>
                <w:sz w:val="24"/>
                <w:szCs w:val="24"/>
                <w:highlight w:val="none"/>
                <w:lang w:val="en-US" w:eastAsia="zh-CN"/>
              </w:rPr>
              <w:t>,</w:t>
            </w:r>
            <w:r>
              <w:rPr>
                <w:rFonts w:ascii="宋体" w:hAnsi="宋体" w:eastAsia="宋体" w:cs="宋体"/>
                <w:color w:val="auto"/>
                <w:sz w:val="24"/>
                <w:szCs w:val="24"/>
                <w:highlight w:val="none"/>
                <w:lang w:val="en-US" w:eastAsia="zh-CN"/>
              </w:rPr>
              <w:t>满分</w:t>
            </w:r>
            <w:r>
              <w:rPr>
                <w:rFonts w:hint="eastAsia" w:ascii="宋体" w:hAnsi="宋体" w:cs="宋体"/>
                <w:color w:val="auto"/>
                <w:sz w:val="24"/>
                <w:szCs w:val="24"/>
                <w:highlight w:val="none"/>
                <w:lang w:val="en-US" w:eastAsia="zh-CN"/>
              </w:rPr>
              <w:t>3</w:t>
            </w:r>
            <w:r>
              <w:rPr>
                <w:rFonts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2"/>
                <w:sz w:val="24"/>
                <w:szCs w:val="24"/>
                <w:highlight w:val="none"/>
                <w:lang w:val="en-US" w:eastAsia="zh-CN" w:bidi="ar-SA"/>
              </w:rPr>
            </w:pPr>
            <w:r>
              <w:rPr>
                <w:rFonts w:ascii="宋体" w:hAnsi="宋体" w:eastAsia="宋体" w:cs="宋体"/>
                <w:color w:val="auto"/>
                <w:sz w:val="24"/>
                <w:szCs w:val="24"/>
                <w:highlight w:val="none"/>
              </w:rPr>
              <w:t>提供以下证明材料：</w:t>
            </w:r>
            <w:r>
              <w:rPr>
                <w:rFonts w:hint="eastAsia" w:ascii="宋体" w:hAnsi="宋体" w:cs="宋体"/>
                <w:color w:val="auto"/>
                <w:sz w:val="24"/>
                <w:szCs w:val="24"/>
                <w:highlight w:val="none"/>
                <w:lang w:val="en-US" w:eastAsia="zh-CN"/>
              </w:rPr>
              <w:t>该人员</w:t>
            </w:r>
            <w:r>
              <w:rPr>
                <w:rFonts w:hint="eastAsia" w:ascii="宋体" w:hAnsi="宋体" w:eastAsia="宋体" w:cs="宋体"/>
                <w:bCs/>
                <w:color w:val="auto"/>
                <w:sz w:val="24"/>
                <w:szCs w:val="24"/>
                <w:highlight w:val="none"/>
                <w:lang w:val="en-US" w:eastAsia="zh-CN"/>
              </w:rPr>
              <w:t>①</w:t>
            </w:r>
            <w:r>
              <w:rPr>
                <w:rFonts w:ascii="宋体" w:hAnsi="宋体" w:eastAsia="宋体" w:cs="宋体"/>
                <w:color w:val="auto"/>
                <w:sz w:val="24"/>
                <w:szCs w:val="24"/>
                <w:highlight w:val="none"/>
              </w:rPr>
              <w:t>工作经验承诺函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格式自拟</w:t>
            </w:r>
            <w:r>
              <w:rPr>
                <w:rFonts w:hint="eastAsia" w:ascii="宋体" w:hAnsi="宋体" w:cs="宋体"/>
                <w:color w:val="auto"/>
                <w:sz w:val="24"/>
                <w:szCs w:val="24"/>
                <w:highlight w:val="none"/>
                <w:lang w:eastAsia="zh-CN"/>
              </w:rPr>
              <w:t>）</w:t>
            </w:r>
            <w:r>
              <w:rPr>
                <w:rFonts w:ascii="宋体" w:hAnsi="宋体" w:eastAsia="宋体" w:cs="宋体"/>
                <w:color w:val="auto"/>
                <w:sz w:val="24"/>
                <w:szCs w:val="24"/>
                <w:highlight w:val="none"/>
              </w:rPr>
              <w:t>；</w:t>
            </w:r>
            <w:r>
              <w:rPr>
                <w:rFonts w:ascii="宋体" w:hAnsi="宋体" w:eastAsia="宋体" w:cs="宋体"/>
                <w:color w:val="auto"/>
                <w:kern w:val="0"/>
                <w:sz w:val="24"/>
                <w:szCs w:val="24"/>
                <w:highlight w:val="none"/>
                <w:lang w:val="en-US" w:eastAsia="zh-CN" w:bidi="ar"/>
              </w:rPr>
              <w:t>②</w:t>
            </w:r>
            <w:r>
              <w:rPr>
                <w:rFonts w:hint="eastAsia" w:ascii="宋体" w:hAnsi="宋体" w:eastAsia="宋体" w:cs="宋体"/>
                <w:color w:val="auto"/>
                <w:sz w:val="24"/>
                <w:szCs w:val="24"/>
                <w:highlight w:val="none"/>
                <w:lang w:eastAsia="zh-CN"/>
              </w:rPr>
              <w:t>二级</w:t>
            </w:r>
            <w:r>
              <w:rPr>
                <w:rFonts w:hint="eastAsia" w:ascii="宋体" w:hAnsi="宋体" w:eastAsia="宋体" w:cs="宋体"/>
                <w:color w:val="auto"/>
                <w:sz w:val="24"/>
                <w:szCs w:val="24"/>
                <w:highlight w:val="none"/>
                <w:lang w:val="en-US" w:eastAsia="zh-CN"/>
              </w:rPr>
              <w:t>/技师（含）以上企业人力资源管理师职业资格证书</w:t>
            </w:r>
            <w:r>
              <w:rPr>
                <w:rFonts w:ascii="宋体" w:hAnsi="宋体" w:eastAsia="宋体" w:cs="宋体"/>
                <w:color w:val="auto"/>
                <w:sz w:val="24"/>
                <w:szCs w:val="24"/>
                <w:highlight w:val="none"/>
              </w:rPr>
              <w:t>复印</w:t>
            </w:r>
            <w:r>
              <w:rPr>
                <w:rFonts w:hint="eastAsia" w:ascii="宋体" w:hAnsi="宋体" w:eastAsia="宋体" w:cs="宋体"/>
                <w:bCs/>
                <w:color w:val="auto"/>
                <w:sz w:val="24"/>
                <w:szCs w:val="24"/>
                <w:highlight w:val="none"/>
                <w:lang w:val="en-US" w:eastAsia="zh-CN"/>
              </w:rPr>
              <w:t>件；</w:t>
            </w:r>
            <w:r>
              <w:rPr>
                <w:rFonts w:hint="default" w:ascii="宋体" w:hAnsi="宋体" w:eastAsia="宋体" w:cs="宋体"/>
                <w:bCs/>
                <w:color w:val="auto"/>
                <w:sz w:val="24"/>
                <w:szCs w:val="24"/>
                <w:highlight w:val="none"/>
                <w:lang w:val="en-US" w:eastAsia="zh-CN"/>
              </w:rPr>
              <w:t>③</w:t>
            </w:r>
            <w:r>
              <w:rPr>
                <w:rFonts w:hint="eastAsia" w:ascii="宋体" w:hAnsi="宋体" w:eastAsia="宋体" w:cs="宋体"/>
                <w:bCs/>
                <w:color w:val="auto"/>
                <w:sz w:val="24"/>
                <w:szCs w:val="24"/>
                <w:highlight w:val="none"/>
                <w:lang w:val="en-US" w:eastAsia="zh-CN"/>
              </w:rPr>
              <w:t>政府行政主管部门授予的优秀项目经理荣誉证书复印件；④该人员有效期内的身份证复印件；⑤投标截止时间前</w:t>
            </w:r>
            <w:r>
              <w:rPr>
                <w:rFonts w:ascii="宋体" w:hAnsi="宋体" w:eastAsia="宋体" w:cs="宋体"/>
                <w:color w:val="auto"/>
                <w:sz w:val="24"/>
                <w:szCs w:val="24"/>
                <w:highlight w:val="none"/>
              </w:rPr>
              <w:t>六个月（不含投标截止时间当月）任意一个月由投标人为其缴纳社保的证明材料。以上证明材料</w:t>
            </w:r>
            <w:r>
              <w:rPr>
                <w:rFonts w:hint="eastAsia" w:ascii="宋体" w:hAnsi="宋体" w:cs="宋体"/>
                <w:color w:val="auto"/>
                <w:sz w:val="24"/>
                <w:szCs w:val="24"/>
                <w:highlight w:val="none"/>
                <w:lang w:val="en-US" w:eastAsia="zh-CN"/>
              </w:rPr>
              <w:t>须同时提供</w:t>
            </w:r>
            <w:r>
              <w:rPr>
                <w:rFonts w:hint="eastAsia" w:ascii="宋体" w:hAnsi="宋体" w:eastAsia="宋体" w:cs="宋体"/>
                <w:bCs/>
                <w:color w:val="auto"/>
                <w:sz w:val="24"/>
                <w:szCs w:val="24"/>
                <w:highlight w:val="none"/>
                <w:lang w:val="en-US" w:eastAsia="zh-CN"/>
              </w:rPr>
              <w:t>④</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⑤</w:t>
            </w:r>
            <w:r>
              <w:rPr>
                <w:rFonts w:hint="eastAsia" w:ascii="宋体" w:hAnsi="宋体" w:cs="宋体"/>
                <w:color w:val="auto"/>
                <w:sz w:val="24"/>
                <w:szCs w:val="24"/>
                <w:highlight w:val="none"/>
                <w:lang w:val="en-US" w:eastAsia="zh-CN"/>
              </w:rPr>
              <w:t>项，</w:t>
            </w:r>
            <w:r>
              <w:rPr>
                <w:rFonts w:hint="eastAsia" w:ascii="宋体" w:hAnsi="宋体" w:eastAsia="宋体" w:cs="宋体"/>
                <w:bCs/>
                <w:color w:val="auto"/>
                <w:sz w:val="24"/>
                <w:szCs w:val="24"/>
                <w:highlight w:val="none"/>
                <w:lang w:val="en-US" w:eastAsia="zh-CN"/>
              </w:rPr>
              <w:t>①</w:t>
            </w:r>
            <w:r>
              <w:rPr>
                <w:rFonts w:hint="eastAsia" w:ascii="宋体" w:hAnsi="宋体" w:cs="宋体"/>
                <w:color w:val="auto"/>
                <w:kern w:val="0"/>
                <w:sz w:val="24"/>
                <w:szCs w:val="24"/>
                <w:highlight w:val="none"/>
                <w:lang w:val="en-US" w:eastAsia="zh-CN" w:bidi="ar"/>
              </w:rPr>
              <w:t>至</w:t>
            </w:r>
            <w:r>
              <w:rPr>
                <w:rFonts w:hint="default" w:ascii="宋体" w:hAnsi="宋体" w:eastAsia="宋体" w:cs="宋体"/>
                <w:bCs/>
                <w:color w:val="auto"/>
                <w:sz w:val="24"/>
                <w:szCs w:val="24"/>
                <w:highlight w:val="none"/>
                <w:lang w:val="en-US" w:eastAsia="zh-CN"/>
              </w:rPr>
              <w:t>③</w:t>
            </w:r>
            <w:r>
              <w:rPr>
                <w:rFonts w:hint="eastAsia" w:ascii="宋体" w:hAnsi="宋体" w:cs="宋体"/>
                <w:color w:val="auto"/>
                <w:sz w:val="24"/>
                <w:szCs w:val="24"/>
                <w:highlight w:val="none"/>
                <w:lang w:val="en-US" w:eastAsia="zh-CN"/>
              </w:rPr>
              <w:t>项每提供1项得1分，</w:t>
            </w:r>
            <w:r>
              <w:rPr>
                <w:rFonts w:ascii="宋体" w:hAnsi="宋体" w:eastAsia="宋体" w:cs="宋体"/>
                <w:color w:val="auto"/>
                <w:sz w:val="24"/>
                <w:szCs w:val="24"/>
                <w:highlight w:val="none"/>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13、团队人员配置（会务主管）</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满足招标文件文化活动中心物业管理人员配备中素质要求的基础上，会务主管具有</w:t>
            </w:r>
            <w:r>
              <w:rPr>
                <w:rFonts w:hint="eastAsia" w:ascii="宋体" w:hAnsi="宋体" w:eastAsia="宋体" w:cs="宋体"/>
                <w:bCs/>
                <w:color w:val="auto"/>
                <w:sz w:val="24"/>
                <w:szCs w:val="24"/>
                <w:highlight w:val="none"/>
                <w:lang w:val="en-US" w:eastAsia="zh-CN"/>
              </w:rPr>
              <w:t>①</w:t>
            </w:r>
            <w:r>
              <w:rPr>
                <w:rFonts w:hint="eastAsia" w:ascii="宋体" w:hAnsi="宋体" w:cs="宋体"/>
                <w:bCs/>
                <w:color w:val="auto"/>
                <w:sz w:val="24"/>
                <w:szCs w:val="24"/>
                <w:highlight w:val="none"/>
                <w:lang w:val="en-US" w:eastAsia="zh-CN"/>
              </w:rPr>
              <w:t>本科（含）</w:t>
            </w:r>
            <w:r>
              <w:rPr>
                <w:rFonts w:hint="eastAsia" w:ascii="宋体" w:hAnsi="宋体" w:cs="宋体"/>
                <w:color w:val="auto"/>
                <w:sz w:val="24"/>
                <w:szCs w:val="24"/>
                <w:highlight w:val="none"/>
                <w:lang w:val="en-US" w:eastAsia="zh-CN"/>
              </w:rPr>
              <w:t>以上学历，</w:t>
            </w:r>
            <w:r>
              <w:rPr>
                <w:rFonts w:ascii="宋体" w:hAnsi="宋体" w:eastAsia="宋体" w:cs="宋体"/>
                <w:color w:val="auto"/>
                <w:kern w:val="0"/>
                <w:sz w:val="24"/>
                <w:szCs w:val="24"/>
                <w:highlight w:val="none"/>
                <w:lang w:val="en-US" w:eastAsia="zh-CN" w:bidi="ar"/>
              </w:rPr>
              <w:t>②</w:t>
            </w:r>
            <w:r>
              <w:rPr>
                <w:rFonts w:hint="eastAsia" w:ascii="宋体" w:hAnsi="宋体" w:cs="宋体"/>
                <w:color w:val="auto"/>
                <w:sz w:val="24"/>
                <w:szCs w:val="24"/>
                <w:highlight w:val="none"/>
                <w:lang w:val="en-US" w:eastAsia="zh-CN"/>
              </w:rPr>
              <w:t>5年</w:t>
            </w:r>
            <w:r>
              <w:rPr>
                <w:rFonts w:ascii="宋体" w:hAnsi="宋体" w:eastAsia="宋体" w:cs="宋体"/>
                <w:color w:val="auto"/>
                <w:sz w:val="24"/>
                <w:szCs w:val="24"/>
                <w:highlight w:val="none"/>
              </w:rPr>
              <w:t>（含</w:t>
            </w:r>
            <w:r>
              <w:rPr>
                <w:rFonts w:hint="eastAsia" w:ascii="宋体" w:hAnsi="宋体" w:cs="宋体"/>
                <w:color w:val="auto"/>
                <w:sz w:val="24"/>
                <w:szCs w:val="24"/>
                <w:highlight w:val="none"/>
                <w:lang w:val="en-US" w:eastAsia="zh-CN"/>
              </w:rPr>
              <w:t>5</w:t>
            </w:r>
            <w:r>
              <w:rPr>
                <w:rFonts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以上会务管理工作经验，</w:t>
            </w:r>
            <w:r>
              <w:rPr>
                <w:rFonts w:hint="default" w:ascii="宋体" w:hAnsi="宋体" w:eastAsia="宋体" w:cs="宋体"/>
                <w:bCs/>
                <w:color w:val="auto"/>
                <w:sz w:val="24"/>
                <w:szCs w:val="24"/>
                <w:highlight w:val="none"/>
                <w:lang w:val="en-US" w:eastAsia="zh-CN"/>
              </w:rPr>
              <w:t>③</w:t>
            </w:r>
            <w:r>
              <w:rPr>
                <w:rFonts w:hint="eastAsia" w:ascii="宋体" w:hAnsi="宋体" w:eastAsia="宋体" w:cs="宋体"/>
                <w:bCs/>
                <w:color w:val="auto"/>
                <w:sz w:val="24"/>
                <w:szCs w:val="24"/>
                <w:highlight w:val="none"/>
                <w:lang w:val="en-US" w:eastAsia="zh-CN"/>
              </w:rPr>
              <w:t>持有中级（含）以上职称证书，</w:t>
            </w:r>
            <w:r>
              <w:rPr>
                <w:rFonts w:ascii="宋体" w:hAnsi="宋体" w:eastAsia="宋体" w:cs="宋体"/>
                <w:color w:val="auto"/>
                <w:sz w:val="24"/>
                <w:szCs w:val="24"/>
                <w:highlight w:val="none"/>
              </w:rPr>
              <w:t>满足以上条件</w:t>
            </w:r>
            <w:r>
              <w:rPr>
                <w:rFonts w:ascii="宋体" w:hAnsi="宋体" w:eastAsia="宋体" w:cs="宋体"/>
                <w:color w:val="auto"/>
                <w:kern w:val="0"/>
                <w:sz w:val="24"/>
                <w:szCs w:val="24"/>
                <w:highlight w:val="none"/>
                <w:lang w:val="en-US" w:eastAsia="zh-CN" w:bidi="ar"/>
              </w:rPr>
              <w:t>的每点得1分</w:t>
            </w:r>
            <w:r>
              <w:rPr>
                <w:rFonts w:hint="eastAsia" w:ascii="宋体" w:hAnsi="宋体" w:cs="宋体"/>
                <w:color w:val="auto"/>
                <w:sz w:val="24"/>
                <w:szCs w:val="24"/>
                <w:highlight w:val="none"/>
                <w:lang w:val="en-US" w:eastAsia="zh-CN"/>
              </w:rPr>
              <w:t>,</w:t>
            </w:r>
            <w:r>
              <w:rPr>
                <w:rFonts w:ascii="宋体" w:hAnsi="宋体" w:eastAsia="宋体" w:cs="宋体"/>
                <w:color w:val="auto"/>
                <w:sz w:val="24"/>
                <w:szCs w:val="24"/>
                <w:highlight w:val="none"/>
                <w:lang w:val="en-US" w:eastAsia="zh-CN"/>
              </w:rPr>
              <w:t>满分</w:t>
            </w:r>
            <w:r>
              <w:rPr>
                <w:rFonts w:hint="eastAsia" w:ascii="宋体" w:hAnsi="宋体" w:cs="宋体"/>
                <w:color w:val="auto"/>
                <w:sz w:val="24"/>
                <w:szCs w:val="24"/>
                <w:highlight w:val="none"/>
                <w:lang w:val="en-US" w:eastAsia="zh-CN"/>
              </w:rPr>
              <w:t>3</w:t>
            </w:r>
            <w:r>
              <w:rPr>
                <w:rFonts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2"/>
                <w:sz w:val="24"/>
                <w:szCs w:val="24"/>
                <w:highlight w:val="none"/>
                <w:lang w:val="en-US" w:eastAsia="zh-CN" w:bidi="ar-SA"/>
              </w:rPr>
            </w:pPr>
            <w:r>
              <w:rPr>
                <w:rFonts w:ascii="宋体" w:hAnsi="宋体" w:eastAsia="宋体" w:cs="宋体"/>
                <w:color w:val="auto"/>
                <w:sz w:val="24"/>
                <w:szCs w:val="24"/>
                <w:highlight w:val="none"/>
              </w:rPr>
              <w:t>提供以下证明材料：该人员</w:t>
            </w:r>
            <w:r>
              <w:rPr>
                <w:rFonts w:hint="eastAsia" w:ascii="宋体" w:hAnsi="宋体" w:eastAsia="宋体" w:cs="宋体"/>
                <w:bCs/>
                <w:color w:val="auto"/>
                <w:sz w:val="24"/>
                <w:szCs w:val="24"/>
                <w:highlight w:val="none"/>
                <w:lang w:val="en-US" w:eastAsia="zh-CN"/>
              </w:rPr>
              <w:t>①</w:t>
            </w:r>
            <w:r>
              <w:rPr>
                <w:rFonts w:ascii="宋体" w:hAnsi="宋体" w:eastAsia="宋体" w:cs="宋体"/>
                <w:color w:val="auto"/>
                <w:sz w:val="24"/>
                <w:szCs w:val="24"/>
                <w:highlight w:val="none"/>
              </w:rPr>
              <w:t>学历证书复印件及中国高等教育学生信息网学历查询截图佐证材料；</w:t>
            </w:r>
            <w:r>
              <w:rPr>
                <w:rFonts w:ascii="宋体" w:hAnsi="宋体" w:eastAsia="宋体" w:cs="宋体"/>
                <w:color w:val="auto"/>
                <w:kern w:val="0"/>
                <w:sz w:val="24"/>
                <w:szCs w:val="24"/>
                <w:highlight w:val="none"/>
                <w:lang w:val="en-US" w:eastAsia="zh-CN" w:bidi="ar"/>
              </w:rPr>
              <w:t>②</w:t>
            </w:r>
            <w:r>
              <w:rPr>
                <w:rFonts w:ascii="宋体" w:hAnsi="宋体" w:eastAsia="宋体" w:cs="宋体"/>
                <w:color w:val="auto"/>
                <w:sz w:val="24"/>
                <w:szCs w:val="24"/>
                <w:highlight w:val="none"/>
              </w:rPr>
              <w:t>工作经验承诺函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格式自拟</w:t>
            </w:r>
            <w:r>
              <w:rPr>
                <w:rFonts w:hint="eastAsia" w:ascii="宋体" w:hAnsi="宋体" w:cs="宋体"/>
                <w:color w:val="auto"/>
                <w:sz w:val="24"/>
                <w:szCs w:val="24"/>
                <w:highlight w:val="none"/>
                <w:lang w:eastAsia="zh-CN"/>
              </w:rPr>
              <w:t>）</w:t>
            </w:r>
            <w:r>
              <w:rPr>
                <w:rFonts w:hint="eastAsia" w:ascii="宋体" w:hAnsi="宋体" w:eastAsia="宋体" w:cs="宋体"/>
                <w:bCs/>
                <w:color w:val="auto"/>
                <w:sz w:val="24"/>
                <w:szCs w:val="24"/>
                <w:highlight w:val="none"/>
                <w:lang w:val="en-US" w:eastAsia="zh-CN"/>
              </w:rPr>
              <w:t>；</w:t>
            </w:r>
            <w:r>
              <w:rPr>
                <w:rFonts w:hint="default" w:ascii="宋体" w:hAnsi="宋体" w:eastAsia="宋体" w:cs="宋体"/>
                <w:bCs/>
                <w:color w:val="auto"/>
                <w:sz w:val="24"/>
                <w:szCs w:val="24"/>
                <w:highlight w:val="none"/>
                <w:lang w:val="en-US" w:eastAsia="zh-CN"/>
              </w:rPr>
              <w:t>③</w:t>
            </w:r>
            <w:r>
              <w:rPr>
                <w:rFonts w:hint="eastAsia" w:ascii="宋体" w:hAnsi="宋体" w:eastAsia="宋体" w:cs="宋体"/>
                <w:bCs/>
                <w:color w:val="auto"/>
                <w:sz w:val="24"/>
                <w:szCs w:val="24"/>
                <w:highlight w:val="none"/>
                <w:lang w:val="en-US" w:eastAsia="zh-CN"/>
              </w:rPr>
              <w:t>相关证书复印件；④该人员有效期内的身份证复印件；⑤投标截止时间前</w:t>
            </w:r>
            <w:r>
              <w:rPr>
                <w:rFonts w:ascii="宋体" w:hAnsi="宋体" w:eastAsia="宋体" w:cs="宋体"/>
                <w:color w:val="auto"/>
                <w:sz w:val="24"/>
                <w:szCs w:val="24"/>
                <w:highlight w:val="none"/>
              </w:rPr>
              <w:t>六个月（不含投标截止时间当月）任意一个月由投标人为其缴纳社保的证明材料。以上证明材料</w:t>
            </w:r>
            <w:r>
              <w:rPr>
                <w:rFonts w:hint="eastAsia" w:ascii="宋体" w:hAnsi="宋体" w:cs="宋体"/>
                <w:color w:val="auto"/>
                <w:sz w:val="24"/>
                <w:szCs w:val="24"/>
                <w:highlight w:val="none"/>
                <w:lang w:val="en-US" w:eastAsia="zh-CN"/>
              </w:rPr>
              <w:t>须同时提供</w:t>
            </w:r>
            <w:r>
              <w:rPr>
                <w:rFonts w:hint="eastAsia" w:ascii="宋体" w:hAnsi="宋体" w:eastAsia="宋体" w:cs="宋体"/>
                <w:bCs/>
                <w:color w:val="auto"/>
                <w:sz w:val="24"/>
                <w:szCs w:val="24"/>
                <w:highlight w:val="none"/>
                <w:lang w:val="en-US" w:eastAsia="zh-CN"/>
              </w:rPr>
              <w:t>④</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⑤</w:t>
            </w:r>
            <w:r>
              <w:rPr>
                <w:rFonts w:hint="eastAsia" w:ascii="宋体" w:hAnsi="宋体" w:cs="宋体"/>
                <w:color w:val="auto"/>
                <w:sz w:val="24"/>
                <w:szCs w:val="24"/>
                <w:highlight w:val="none"/>
                <w:lang w:val="en-US" w:eastAsia="zh-CN"/>
              </w:rPr>
              <w:t>项，</w:t>
            </w:r>
            <w:r>
              <w:rPr>
                <w:rFonts w:hint="eastAsia" w:ascii="宋体" w:hAnsi="宋体" w:eastAsia="宋体" w:cs="宋体"/>
                <w:bCs/>
                <w:color w:val="auto"/>
                <w:sz w:val="24"/>
                <w:szCs w:val="24"/>
                <w:highlight w:val="none"/>
                <w:lang w:val="en-US" w:eastAsia="zh-CN"/>
              </w:rPr>
              <w:t>①</w:t>
            </w:r>
            <w:r>
              <w:rPr>
                <w:rFonts w:hint="eastAsia" w:ascii="宋体" w:hAnsi="宋体" w:cs="宋体"/>
                <w:color w:val="auto"/>
                <w:kern w:val="0"/>
                <w:sz w:val="24"/>
                <w:szCs w:val="24"/>
                <w:highlight w:val="none"/>
                <w:lang w:val="en-US" w:eastAsia="zh-CN" w:bidi="ar"/>
              </w:rPr>
              <w:t>至</w:t>
            </w:r>
            <w:r>
              <w:rPr>
                <w:rFonts w:hint="default" w:ascii="宋体" w:hAnsi="宋体" w:eastAsia="宋体" w:cs="宋体"/>
                <w:bCs/>
                <w:color w:val="auto"/>
                <w:sz w:val="24"/>
                <w:szCs w:val="24"/>
                <w:highlight w:val="none"/>
                <w:lang w:val="en-US" w:eastAsia="zh-CN"/>
              </w:rPr>
              <w:t>③</w:t>
            </w:r>
            <w:r>
              <w:rPr>
                <w:rFonts w:hint="eastAsia" w:ascii="宋体" w:hAnsi="宋体" w:cs="宋体"/>
                <w:color w:val="auto"/>
                <w:sz w:val="24"/>
                <w:szCs w:val="24"/>
                <w:highlight w:val="none"/>
                <w:lang w:val="en-US" w:eastAsia="zh-CN"/>
              </w:rPr>
              <w:t>项每提供1项得1分，</w:t>
            </w:r>
            <w:r>
              <w:rPr>
                <w:rFonts w:ascii="宋体" w:hAnsi="宋体" w:eastAsia="宋体" w:cs="宋体"/>
                <w:color w:val="auto"/>
                <w:sz w:val="24"/>
                <w:szCs w:val="24"/>
                <w:highlight w:val="none"/>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14、团队人员配（安防队长）</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满足招标文件文化活动中心物业管理人员配备中素质要求的基础上，安防队长具有</w:t>
            </w:r>
            <w:r>
              <w:rPr>
                <w:rFonts w:hint="eastAsia" w:ascii="宋体" w:hAnsi="宋体" w:eastAsia="宋体" w:cs="宋体"/>
                <w:bCs/>
                <w:color w:val="auto"/>
                <w:sz w:val="24"/>
                <w:szCs w:val="24"/>
                <w:highlight w:val="none"/>
                <w:lang w:val="en-US" w:eastAsia="zh-CN"/>
              </w:rPr>
              <w:t>①</w:t>
            </w:r>
            <w:r>
              <w:rPr>
                <w:rFonts w:hint="eastAsia" w:ascii="宋体" w:hAnsi="宋体" w:cs="宋体"/>
                <w:bCs/>
                <w:color w:val="auto"/>
                <w:sz w:val="24"/>
                <w:szCs w:val="24"/>
                <w:highlight w:val="none"/>
                <w:lang w:val="en-US" w:eastAsia="zh-CN"/>
              </w:rPr>
              <w:t>本科（含）</w:t>
            </w:r>
            <w:r>
              <w:rPr>
                <w:rFonts w:hint="eastAsia" w:ascii="宋体" w:hAnsi="宋体" w:cs="宋体"/>
                <w:color w:val="auto"/>
                <w:sz w:val="24"/>
                <w:szCs w:val="24"/>
                <w:highlight w:val="none"/>
                <w:lang w:val="en-US" w:eastAsia="zh-CN"/>
              </w:rPr>
              <w:t>以上学历</w:t>
            </w:r>
            <w:r>
              <w:rPr>
                <w:rFonts w:hint="eastAsia" w:ascii="宋体" w:hAnsi="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②</w:t>
            </w:r>
            <w:r>
              <w:rPr>
                <w:rFonts w:hint="eastAsia" w:ascii="宋体" w:hAnsi="宋体" w:eastAsia="宋体" w:cs="宋体"/>
                <w:color w:val="auto"/>
                <w:kern w:val="0"/>
                <w:sz w:val="24"/>
                <w:szCs w:val="24"/>
                <w:highlight w:val="none"/>
                <w:lang w:val="en-US" w:eastAsia="zh-CN" w:bidi="ar"/>
              </w:rPr>
              <w:t>复退转军人</w:t>
            </w:r>
            <w:r>
              <w:rPr>
                <w:rFonts w:ascii="宋体" w:hAnsi="宋体" w:eastAsia="宋体" w:cs="宋体"/>
                <w:color w:val="auto"/>
                <w:sz w:val="24"/>
                <w:szCs w:val="24"/>
                <w:highlight w:val="none"/>
              </w:rPr>
              <w:t>证书</w:t>
            </w:r>
            <w:r>
              <w:rPr>
                <w:rFonts w:hint="eastAsia" w:ascii="宋体" w:hAnsi="宋体" w:eastAsia="宋体" w:cs="宋体"/>
                <w:color w:val="auto"/>
                <w:kern w:val="0"/>
                <w:sz w:val="24"/>
                <w:szCs w:val="24"/>
                <w:highlight w:val="none"/>
                <w:lang w:val="en-US" w:eastAsia="zh-CN" w:bidi="ar"/>
              </w:rPr>
              <w:t>，</w:t>
            </w:r>
            <w:r>
              <w:rPr>
                <w:rFonts w:hint="default" w:ascii="宋体" w:hAnsi="宋体" w:eastAsia="宋体" w:cs="宋体"/>
                <w:bCs/>
                <w:color w:val="auto"/>
                <w:sz w:val="24"/>
                <w:szCs w:val="24"/>
                <w:highlight w:val="none"/>
                <w:lang w:val="en-US" w:eastAsia="zh-CN"/>
              </w:rPr>
              <w:t>③</w:t>
            </w:r>
            <w:r>
              <w:rPr>
                <w:rFonts w:hint="eastAsia" w:ascii="宋体" w:hAnsi="宋体" w:eastAsia="宋体" w:cs="宋体"/>
                <w:color w:val="auto"/>
                <w:kern w:val="0"/>
                <w:sz w:val="24"/>
                <w:szCs w:val="24"/>
                <w:highlight w:val="none"/>
                <w:lang w:val="en-US" w:eastAsia="zh-CN" w:bidi="ar"/>
              </w:rPr>
              <w:t>持有二级/技师（含）以上保安员职业资格证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满足以上条件的每点得1分,满分3分。</w:t>
            </w:r>
          </w:p>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2"/>
                <w:sz w:val="24"/>
                <w:szCs w:val="24"/>
                <w:highlight w:val="none"/>
                <w:lang w:val="en-US" w:eastAsia="zh-CN" w:bidi="ar-SA"/>
              </w:rPr>
            </w:pPr>
            <w:r>
              <w:rPr>
                <w:rFonts w:ascii="宋体" w:hAnsi="宋体" w:eastAsia="宋体" w:cs="宋体"/>
                <w:color w:val="auto"/>
                <w:sz w:val="24"/>
                <w:szCs w:val="24"/>
                <w:highlight w:val="none"/>
              </w:rPr>
              <w:t>提供以下证明材料</w:t>
            </w:r>
            <w:r>
              <w:rPr>
                <w:rFonts w:hint="eastAsia" w:ascii="宋体" w:hAnsi="宋体" w:cs="宋体"/>
                <w:color w:val="auto"/>
                <w:sz w:val="24"/>
                <w:szCs w:val="24"/>
                <w:highlight w:val="none"/>
                <w:lang w:eastAsia="zh-CN"/>
              </w:rPr>
              <w:t>：</w:t>
            </w:r>
            <w:r>
              <w:rPr>
                <w:rFonts w:hint="eastAsia" w:ascii="宋体" w:hAnsi="宋体" w:eastAsia="宋体" w:cs="宋体"/>
                <w:bCs/>
                <w:color w:val="auto"/>
                <w:sz w:val="24"/>
                <w:szCs w:val="24"/>
                <w:highlight w:val="none"/>
                <w:lang w:val="en-US" w:eastAsia="zh-CN"/>
              </w:rPr>
              <w:t>①</w:t>
            </w:r>
            <w:r>
              <w:rPr>
                <w:rFonts w:ascii="宋体" w:hAnsi="宋体" w:eastAsia="宋体" w:cs="宋体"/>
                <w:color w:val="auto"/>
                <w:sz w:val="24"/>
                <w:szCs w:val="24"/>
                <w:highlight w:val="none"/>
              </w:rPr>
              <w:t>学历证书复印件及中国高等教育学生信息网学历查询截图佐证材料；；</w:t>
            </w:r>
            <w:r>
              <w:rPr>
                <w:rFonts w:ascii="宋体" w:hAnsi="宋体" w:eastAsia="宋体" w:cs="宋体"/>
                <w:color w:val="auto"/>
                <w:kern w:val="0"/>
                <w:sz w:val="24"/>
                <w:szCs w:val="24"/>
                <w:highlight w:val="none"/>
                <w:lang w:val="en-US" w:eastAsia="zh-CN" w:bidi="ar"/>
              </w:rPr>
              <w:t>②</w:t>
            </w:r>
            <w:r>
              <w:rPr>
                <w:rFonts w:hint="eastAsia" w:ascii="宋体" w:hAnsi="宋体" w:eastAsia="宋体" w:cs="宋体"/>
                <w:color w:val="auto"/>
                <w:kern w:val="0"/>
                <w:sz w:val="24"/>
                <w:szCs w:val="24"/>
                <w:highlight w:val="none"/>
                <w:lang w:val="en-US" w:eastAsia="zh-CN" w:bidi="ar"/>
              </w:rPr>
              <w:t>复退转军人</w:t>
            </w:r>
            <w:r>
              <w:rPr>
                <w:rFonts w:ascii="宋体" w:hAnsi="宋体" w:eastAsia="宋体" w:cs="宋体"/>
                <w:color w:val="auto"/>
                <w:sz w:val="24"/>
                <w:szCs w:val="24"/>
                <w:highlight w:val="none"/>
              </w:rPr>
              <w:t>证书</w:t>
            </w:r>
            <w:r>
              <w:rPr>
                <w:rFonts w:hint="eastAsia" w:ascii="宋体" w:hAnsi="宋体" w:eastAsia="宋体" w:cs="宋体"/>
                <w:color w:val="auto"/>
                <w:sz w:val="24"/>
                <w:szCs w:val="24"/>
                <w:highlight w:val="none"/>
                <w:lang w:eastAsia="zh-CN"/>
              </w:rPr>
              <w:t>复印件</w:t>
            </w:r>
            <w:r>
              <w:rPr>
                <w:rFonts w:hint="eastAsia" w:ascii="宋体" w:hAnsi="宋体" w:cs="宋体"/>
                <w:color w:val="auto"/>
                <w:kern w:val="0"/>
                <w:sz w:val="24"/>
                <w:szCs w:val="24"/>
                <w:highlight w:val="none"/>
                <w:lang w:val="en-US" w:eastAsia="zh-CN" w:bidi="ar"/>
              </w:rPr>
              <w:t>；</w:t>
            </w:r>
            <w:r>
              <w:rPr>
                <w:rFonts w:hint="default" w:ascii="宋体" w:hAnsi="宋体" w:eastAsia="宋体" w:cs="宋体"/>
                <w:bCs/>
                <w:color w:val="auto"/>
                <w:sz w:val="24"/>
                <w:szCs w:val="24"/>
                <w:highlight w:val="none"/>
                <w:lang w:val="en-US" w:eastAsia="zh-CN"/>
              </w:rPr>
              <w:t>③</w:t>
            </w:r>
            <w:r>
              <w:rPr>
                <w:rFonts w:hint="eastAsia" w:ascii="宋体" w:hAnsi="宋体" w:eastAsia="宋体" w:cs="宋体"/>
                <w:color w:val="auto"/>
                <w:kern w:val="0"/>
                <w:sz w:val="24"/>
                <w:szCs w:val="24"/>
                <w:highlight w:val="none"/>
                <w:lang w:val="en-US" w:eastAsia="zh-CN" w:bidi="ar"/>
              </w:rPr>
              <w:t>持有二级/技师（含）以上保安员职业资格证复印件</w:t>
            </w:r>
            <w:r>
              <w:rPr>
                <w:rFonts w:hint="eastAsia" w:ascii="宋体" w:hAnsi="宋体" w:cs="宋体"/>
                <w:color w:val="auto"/>
                <w:sz w:val="24"/>
                <w:szCs w:val="24"/>
                <w:highlight w:val="none"/>
                <w:lang w:eastAsia="zh-CN"/>
              </w:rPr>
              <w:t>；</w:t>
            </w:r>
            <w:r>
              <w:rPr>
                <w:rFonts w:hint="eastAsia" w:ascii="宋体" w:hAnsi="宋体" w:eastAsia="宋体" w:cs="宋体"/>
                <w:bCs/>
                <w:color w:val="auto"/>
                <w:sz w:val="24"/>
                <w:szCs w:val="24"/>
                <w:highlight w:val="none"/>
                <w:lang w:val="en-US" w:eastAsia="zh-CN"/>
              </w:rPr>
              <w:t>④该人员有效期内的身份证复印件；⑤投标截止时间前</w:t>
            </w:r>
            <w:r>
              <w:rPr>
                <w:rFonts w:ascii="宋体" w:hAnsi="宋体" w:eastAsia="宋体" w:cs="宋体"/>
                <w:color w:val="auto"/>
                <w:sz w:val="24"/>
                <w:szCs w:val="24"/>
                <w:highlight w:val="none"/>
              </w:rPr>
              <w:t>六个月（不含投标截止时间当月）任意一个月由投标人为其缴纳社保的证明材料。以上证明材料</w:t>
            </w:r>
            <w:r>
              <w:rPr>
                <w:rFonts w:hint="eastAsia" w:ascii="宋体" w:hAnsi="宋体" w:cs="宋体"/>
                <w:color w:val="auto"/>
                <w:sz w:val="24"/>
                <w:szCs w:val="24"/>
                <w:highlight w:val="none"/>
                <w:lang w:val="en-US" w:eastAsia="zh-CN"/>
              </w:rPr>
              <w:t>须同时提供</w:t>
            </w:r>
            <w:r>
              <w:rPr>
                <w:rFonts w:hint="eastAsia" w:ascii="宋体" w:hAnsi="宋体" w:eastAsia="宋体" w:cs="宋体"/>
                <w:bCs/>
                <w:color w:val="auto"/>
                <w:sz w:val="24"/>
                <w:szCs w:val="24"/>
                <w:highlight w:val="none"/>
                <w:lang w:val="en-US" w:eastAsia="zh-CN"/>
              </w:rPr>
              <w:t>④</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⑤</w:t>
            </w:r>
            <w:r>
              <w:rPr>
                <w:rFonts w:hint="eastAsia" w:ascii="宋体" w:hAnsi="宋体" w:cs="宋体"/>
                <w:color w:val="auto"/>
                <w:sz w:val="24"/>
                <w:szCs w:val="24"/>
                <w:highlight w:val="none"/>
                <w:lang w:val="en-US" w:eastAsia="zh-CN"/>
              </w:rPr>
              <w:t>项，</w:t>
            </w:r>
            <w:r>
              <w:rPr>
                <w:rFonts w:hint="eastAsia" w:ascii="宋体" w:hAnsi="宋体" w:eastAsia="宋体" w:cs="宋体"/>
                <w:bCs/>
                <w:color w:val="auto"/>
                <w:sz w:val="24"/>
                <w:szCs w:val="24"/>
                <w:highlight w:val="none"/>
                <w:lang w:val="en-US" w:eastAsia="zh-CN"/>
              </w:rPr>
              <w:t>①</w:t>
            </w:r>
            <w:r>
              <w:rPr>
                <w:rFonts w:hint="eastAsia" w:ascii="宋体" w:hAnsi="宋体" w:cs="宋体"/>
                <w:color w:val="auto"/>
                <w:kern w:val="0"/>
                <w:sz w:val="24"/>
                <w:szCs w:val="24"/>
                <w:highlight w:val="none"/>
                <w:lang w:val="en-US" w:eastAsia="zh-CN" w:bidi="ar"/>
              </w:rPr>
              <w:t>至</w:t>
            </w:r>
            <w:r>
              <w:rPr>
                <w:rFonts w:hint="default" w:ascii="宋体" w:hAnsi="宋体" w:eastAsia="宋体" w:cs="宋体"/>
                <w:bCs/>
                <w:color w:val="auto"/>
                <w:sz w:val="24"/>
                <w:szCs w:val="24"/>
                <w:highlight w:val="none"/>
                <w:lang w:val="en-US" w:eastAsia="zh-CN"/>
              </w:rPr>
              <w:t>③</w:t>
            </w:r>
            <w:r>
              <w:rPr>
                <w:rFonts w:hint="eastAsia" w:ascii="宋体" w:hAnsi="宋体" w:cs="宋体"/>
                <w:color w:val="auto"/>
                <w:sz w:val="24"/>
                <w:szCs w:val="24"/>
                <w:highlight w:val="none"/>
                <w:lang w:val="en-US" w:eastAsia="zh-CN"/>
              </w:rPr>
              <w:t>项每提供1项得1分，</w:t>
            </w:r>
            <w:r>
              <w:rPr>
                <w:rFonts w:ascii="宋体" w:hAnsi="宋体" w:eastAsia="宋体" w:cs="宋体"/>
                <w:color w:val="auto"/>
                <w:sz w:val="24"/>
                <w:szCs w:val="24"/>
                <w:highlight w:val="none"/>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cs="宋体"/>
                <w:bCs/>
                <w:color w:val="auto"/>
                <w:sz w:val="24"/>
                <w:szCs w:val="24"/>
                <w:highlight w:val="none"/>
                <w:lang w:val="en-US" w:eastAsia="zh-CN"/>
              </w:rPr>
            </w:pPr>
            <w:r>
              <w:rPr>
                <w:rFonts w:hint="eastAsia" w:ascii="宋体" w:hAnsi="宋体" w:cs="宋体"/>
                <w:color w:val="auto"/>
                <w:sz w:val="24"/>
                <w:szCs w:val="24"/>
                <w:highlight w:val="none"/>
                <w:lang w:val="en-US" w:eastAsia="zh-CN"/>
              </w:rPr>
              <w:t>15、团队人员配（电工）</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投标人针对本项目拟派的电工持有高压电工作业证和低压电工作业证的，每提供1人得1分，满分3分。投标人应提供拟派的电工至</w:t>
            </w:r>
            <w:r>
              <w:rPr>
                <w:rFonts w:hint="eastAsia" w:ascii="宋体" w:hAnsi="宋体" w:eastAsia="宋体" w:cs="宋体"/>
                <w:bCs/>
                <w:color w:val="auto"/>
                <w:sz w:val="24"/>
                <w:szCs w:val="24"/>
                <w:highlight w:val="none"/>
                <w:lang w:val="en-US" w:eastAsia="zh-CN"/>
              </w:rPr>
              <w:t>投标截止时间前</w:t>
            </w:r>
            <w:r>
              <w:rPr>
                <w:rFonts w:ascii="宋体" w:hAnsi="宋体" w:eastAsia="宋体" w:cs="宋体"/>
                <w:color w:val="auto"/>
                <w:sz w:val="24"/>
                <w:szCs w:val="24"/>
                <w:highlight w:val="none"/>
              </w:rPr>
              <w:t>六个月（不含投标截止时间当月）任意一个月由投标人为其缴纳社保的证明材料</w:t>
            </w:r>
            <w:r>
              <w:rPr>
                <w:rFonts w:hint="eastAsia" w:ascii="宋体" w:hAnsi="宋体" w:eastAsia="宋体" w:cs="宋体"/>
                <w:color w:val="auto"/>
                <w:sz w:val="24"/>
                <w:szCs w:val="24"/>
                <w:highlight w:val="none"/>
                <w:lang w:eastAsia="zh-CN"/>
              </w:rPr>
              <w:t>、有效身份证复印件，以及相关证件材料复印件，上述材料提供不全或未提供者本项不得分。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eastAsia" w:ascii="宋体" w:hAnsi="宋体" w:cs="宋体"/>
                <w:bCs/>
                <w:color w:val="auto"/>
                <w:sz w:val="24"/>
                <w:szCs w:val="24"/>
                <w:highlight w:val="none"/>
                <w:lang w:val="en-US" w:eastAsia="zh-CN"/>
              </w:rPr>
            </w:pPr>
            <w:r>
              <w:rPr>
                <w:rFonts w:hint="eastAsia" w:ascii="宋体" w:hAnsi="宋体" w:cs="宋体"/>
                <w:color w:val="auto"/>
                <w:sz w:val="24"/>
                <w:szCs w:val="24"/>
                <w:highlight w:val="none"/>
                <w:lang w:val="en-US" w:eastAsia="zh-CN"/>
              </w:rPr>
              <w:t>16、团队人员配（消防监控员）</w:t>
            </w:r>
          </w:p>
        </w:tc>
        <w:tc>
          <w:tcPr>
            <w:tcW w:w="109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outlineLvl w:val="9"/>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w:t>
            </w:r>
          </w:p>
        </w:tc>
        <w:tc>
          <w:tcPr>
            <w:tcW w:w="60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投标人针对本项目拟派的消防监控员持有建（构）筑物消防员或消防设施操作员证的，每提供1人得1分，满分3分。投标人应提供拟派的消防监控员至</w:t>
            </w:r>
            <w:r>
              <w:rPr>
                <w:rFonts w:hint="eastAsia" w:ascii="宋体" w:hAnsi="宋体" w:eastAsia="宋体" w:cs="宋体"/>
                <w:bCs/>
                <w:color w:val="auto"/>
                <w:sz w:val="24"/>
                <w:szCs w:val="24"/>
                <w:highlight w:val="none"/>
                <w:lang w:val="en-US" w:eastAsia="zh-CN"/>
              </w:rPr>
              <w:t>投标截止时间前</w:t>
            </w:r>
            <w:r>
              <w:rPr>
                <w:rFonts w:ascii="宋体" w:hAnsi="宋体" w:eastAsia="宋体" w:cs="宋体"/>
                <w:color w:val="auto"/>
                <w:sz w:val="24"/>
                <w:szCs w:val="24"/>
                <w:highlight w:val="none"/>
              </w:rPr>
              <w:t>六个月（不含投标截止时间当月）任意一个月由投标人为其缴纳社保的证明材料</w:t>
            </w:r>
            <w:r>
              <w:rPr>
                <w:rFonts w:hint="eastAsia" w:ascii="宋体" w:hAnsi="宋体" w:eastAsia="宋体" w:cs="宋体"/>
                <w:color w:val="auto"/>
                <w:sz w:val="24"/>
                <w:szCs w:val="24"/>
                <w:highlight w:val="none"/>
                <w:lang w:eastAsia="zh-CN"/>
              </w:rPr>
              <w:t>、有效身份证复印件，以及相关证件材料复印件，上述材料提供不全或未提供者本项不得分。</w:t>
            </w:r>
          </w:p>
        </w:tc>
      </w:tr>
    </w:tbl>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sz w:val="24"/>
          <w:szCs w:val="24"/>
          <w:highlight w:val="none"/>
        </w:rPr>
      </w:pP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③商务项（F3×A3）满分为</w:t>
      </w:r>
      <w:r>
        <w:rPr>
          <w:rFonts w:hint="eastAsia" w:ascii="宋体" w:hAnsi="宋体" w:eastAsia="宋体" w:cs="宋体"/>
          <w:color w:val="auto"/>
          <w:sz w:val="24"/>
          <w:szCs w:val="24"/>
          <w:highlight w:val="none"/>
          <w:u w:val="single"/>
          <w:lang w:val="en-US" w:eastAsia="zh-CN"/>
        </w:rPr>
        <w:t>15</w:t>
      </w:r>
      <w:r>
        <w:rPr>
          <w:rFonts w:hint="eastAsia" w:ascii="宋体" w:hAnsi="宋体" w:eastAsia="宋体" w:cs="宋体"/>
          <w:color w:val="auto"/>
          <w:sz w:val="24"/>
          <w:szCs w:val="24"/>
          <w:highlight w:val="none"/>
        </w:rPr>
        <w:t>分。</w:t>
      </w:r>
    </w:p>
    <w:tbl>
      <w:tblPr>
        <w:tblStyle w:val="15"/>
        <w:tblW w:w="84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28"/>
        <w:gridCol w:w="1250"/>
        <w:gridCol w:w="61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6" w:hRule="atLeast"/>
          <w:tblHeader/>
        </w:trPr>
        <w:tc>
          <w:tcPr>
            <w:tcW w:w="102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评标项目</w:t>
            </w: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评标分值</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98" w:hRule="atLeast"/>
        </w:trPr>
        <w:tc>
          <w:tcPr>
            <w:tcW w:w="102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1、无负面</w:t>
            </w:r>
          </w:p>
          <w:p>
            <w:pPr>
              <w:keepNext w:val="0"/>
              <w:keepLines w:val="0"/>
              <w:widowControl/>
              <w:suppressLineNumbers w:val="0"/>
              <w:jc w:val="center"/>
              <w:rPr>
                <w:rFonts w:hint="default" w:ascii="宋体" w:hAnsi="宋体" w:eastAsia="宋体" w:cs="宋体"/>
                <w:color w:val="auto"/>
                <w:highlight w:val="none"/>
                <w:lang w:val="en-US"/>
              </w:rPr>
            </w:pPr>
            <w:r>
              <w:rPr>
                <w:rFonts w:hint="eastAsia" w:ascii="宋体" w:hAnsi="宋体" w:eastAsia="宋体" w:cs="宋体"/>
                <w:color w:val="auto"/>
                <w:kern w:val="0"/>
                <w:sz w:val="24"/>
                <w:szCs w:val="24"/>
                <w:highlight w:val="none"/>
                <w:lang w:val="en-US" w:eastAsia="zh-CN" w:bidi="ar"/>
              </w:rPr>
              <w:t>事项</w:t>
            </w: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投标人满足参加政府采购活动前三年内在经营活动中没有重大违法记录的前提下，参加政府采购活动前三年内，</w:t>
            </w:r>
            <w:r>
              <w:rPr>
                <w:rFonts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未</w:t>
            </w:r>
            <w:r>
              <w:rPr>
                <w:rFonts w:ascii="宋体" w:hAnsi="宋体" w:eastAsia="宋体" w:cs="宋体"/>
                <w:color w:val="auto"/>
                <w:sz w:val="24"/>
                <w:szCs w:val="24"/>
                <w:highlight w:val="none"/>
              </w:rPr>
              <w:t>被物业行政主管部门警告、通报等行政处罚的得3分，否则不得分。</w:t>
            </w:r>
          </w:p>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sz w:val="24"/>
                <w:szCs w:val="24"/>
                <w:highlight w:val="none"/>
              </w:rPr>
              <w:t>注：投标人</w:t>
            </w:r>
            <w:r>
              <w:rPr>
                <w:rFonts w:hint="eastAsia" w:ascii="宋体" w:hAnsi="宋体" w:eastAsia="宋体" w:cs="宋体"/>
                <w:color w:val="auto"/>
                <w:sz w:val="24"/>
                <w:szCs w:val="24"/>
                <w:highlight w:val="none"/>
              </w:rPr>
              <w:t>须提交在参加政府采购活动前三年内</w:t>
            </w:r>
            <w:r>
              <w:rPr>
                <w:rFonts w:ascii="宋体" w:hAnsi="宋体" w:eastAsia="宋体" w:cs="宋体"/>
                <w:color w:val="auto"/>
                <w:sz w:val="24"/>
                <w:szCs w:val="24"/>
                <w:highlight w:val="none"/>
              </w:rPr>
              <w:t>未被物业行政主管部门警告、通报等行政处罚的承诺书，若发现投标人隐瞒通报情况、提供虚假承诺的，</w:t>
            </w:r>
            <w:r>
              <w:rPr>
                <w:rFonts w:hint="eastAsia" w:ascii="宋体" w:hAnsi="宋体" w:eastAsia="宋体" w:cs="宋体"/>
                <w:color w:val="auto"/>
                <w:sz w:val="24"/>
                <w:szCs w:val="24"/>
                <w:highlight w:val="none"/>
              </w:rPr>
              <w:t>中标企业取消中标资格</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采购人有权终止合同并追究相应的法律责任和进行相应的赔偿。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102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2、企业业绩</w:t>
            </w: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2018年1月1日</w:t>
            </w:r>
            <w:r>
              <w:rPr>
                <w:rFonts w:hint="eastAsia" w:ascii="宋体" w:hAnsi="宋体" w:cs="宋体"/>
                <w:color w:val="auto"/>
                <w:kern w:val="0"/>
                <w:sz w:val="24"/>
                <w:szCs w:val="24"/>
                <w:highlight w:val="none"/>
                <w:lang w:val="en-US" w:eastAsia="zh-CN" w:bidi="ar"/>
              </w:rPr>
              <w:t>以来，投标人正在履约或履约完成</w:t>
            </w:r>
            <w:r>
              <w:rPr>
                <w:rFonts w:hint="eastAsia" w:ascii="宋体" w:hAnsi="宋体" w:cs="宋体"/>
                <w:strike w:val="0"/>
                <w:dstrike w:val="0"/>
                <w:color w:val="auto"/>
                <w:kern w:val="0"/>
                <w:sz w:val="24"/>
                <w:szCs w:val="24"/>
                <w:highlight w:val="none"/>
                <w:lang w:val="en-US" w:eastAsia="zh-CN" w:bidi="ar"/>
              </w:rPr>
              <w:t>的县区级（含）以上党政机关或类似物业管理</w:t>
            </w:r>
            <w:r>
              <w:rPr>
                <w:rFonts w:hint="eastAsia" w:ascii="宋体" w:hAnsi="宋体" w:cs="宋体"/>
                <w:color w:val="auto"/>
                <w:kern w:val="0"/>
                <w:sz w:val="24"/>
                <w:szCs w:val="24"/>
                <w:highlight w:val="none"/>
                <w:lang w:val="en-US" w:eastAsia="zh-CN" w:bidi="ar"/>
              </w:rPr>
              <w:t>服务项目（服务内容至少包含保安、保洁、会务服务、工程维修、绿化、消控管理等六项）</w:t>
            </w:r>
            <w:r>
              <w:rPr>
                <w:rFonts w:hint="eastAsia" w:ascii="宋体" w:hAnsi="宋体" w:eastAsia="宋体" w:cs="宋体"/>
                <w:color w:val="auto"/>
                <w:kern w:val="0"/>
                <w:sz w:val="24"/>
                <w:szCs w:val="24"/>
                <w:highlight w:val="none"/>
                <w:lang w:val="en-US" w:eastAsia="zh-CN" w:bidi="ar"/>
              </w:rPr>
              <w:t>业绩进行评分，每提供一份的得1分，满分3分。</w:t>
            </w:r>
          </w:p>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注：</w:t>
            </w:r>
            <w:r>
              <w:rPr>
                <w:rFonts w:ascii="宋体" w:hAnsi="宋体" w:eastAsia="宋体" w:cs="宋体"/>
                <w:color w:val="auto"/>
                <w:sz w:val="24"/>
                <w:szCs w:val="24"/>
                <w:highlight w:val="none"/>
              </w:rPr>
              <w:t>投标人须提供该业绩项目的中标公告（提供相关网站中标公告的下载网页并注明网址）、中标通知书复印件、采购合同文本复印件，以及能够证明该业绩项目已经采购人验收合格的相关证明文件</w:t>
            </w:r>
            <w:r>
              <w:rPr>
                <w:rFonts w:hint="eastAsia" w:ascii="宋体" w:hAnsi="宋体" w:cs="宋体"/>
                <w:color w:val="auto"/>
                <w:sz w:val="24"/>
                <w:szCs w:val="24"/>
                <w:highlight w:val="none"/>
                <w:lang w:eastAsia="zh-CN"/>
              </w:rPr>
              <w:t>或任一期付款发票等证明</w:t>
            </w:r>
            <w:r>
              <w:rPr>
                <w:rFonts w:ascii="宋体" w:hAnsi="宋体" w:eastAsia="宋体" w:cs="宋体"/>
                <w:color w:val="auto"/>
                <w:sz w:val="24"/>
                <w:szCs w:val="24"/>
                <w:highlight w:val="none"/>
              </w:rPr>
              <w:t>复印件为评分依据，不满足或未提供则不得分。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21" w:hRule="atLeast"/>
        </w:trPr>
        <w:tc>
          <w:tcPr>
            <w:tcW w:w="102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sz w:val="24"/>
                <w:szCs w:val="24"/>
                <w:highlight w:val="none"/>
              </w:rPr>
              <w:t>保险</w:t>
            </w:r>
            <w:r>
              <w:rPr>
                <w:rFonts w:hint="eastAsia" w:ascii="宋体" w:hAnsi="宋体" w:eastAsia="宋体" w:cs="宋体"/>
                <w:color w:val="auto"/>
                <w:sz w:val="24"/>
                <w:szCs w:val="24"/>
                <w:highlight w:val="none"/>
                <w:lang w:val="en-US" w:eastAsia="zh-CN"/>
              </w:rPr>
              <w:t>保障</w:t>
            </w: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投标人</w:t>
            </w:r>
            <w:r>
              <w:rPr>
                <w:rFonts w:hint="eastAsia" w:ascii="宋体" w:hAnsi="宋体" w:cs="宋体"/>
                <w:color w:val="auto"/>
                <w:sz w:val="24"/>
                <w:szCs w:val="24"/>
                <w:highlight w:val="none"/>
                <w:lang w:val="en-US" w:eastAsia="zh-CN"/>
              </w:rPr>
              <w:t>为</w:t>
            </w:r>
            <w:r>
              <w:rPr>
                <w:rFonts w:ascii="宋体" w:hAnsi="宋体" w:eastAsia="宋体" w:cs="宋体"/>
                <w:color w:val="auto"/>
                <w:sz w:val="24"/>
                <w:szCs w:val="24"/>
                <w:highlight w:val="none"/>
              </w:rPr>
              <w:t>拟派至本项目服务的工作人员购买有效期内的人身意外保险的</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或</w:t>
            </w:r>
            <w:r>
              <w:rPr>
                <w:rFonts w:ascii="宋体" w:hAnsi="宋体" w:eastAsia="宋体" w:cs="宋体"/>
                <w:color w:val="auto"/>
                <w:sz w:val="24"/>
                <w:szCs w:val="24"/>
                <w:highlight w:val="none"/>
              </w:rPr>
              <w:t>承诺为拟派至本项目服务的工作人员购买人身意外保险（</w:t>
            </w:r>
            <w:r>
              <w:rPr>
                <w:rFonts w:hint="eastAsia" w:ascii="宋体" w:hAnsi="宋体" w:eastAsia="宋体" w:cs="宋体"/>
                <w:color w:val="auto"/>
                <w:sz w:val="24"/>
                <w:szCs w:val="24"/>
                <w:highlight w:val="none"/>
                <w:lang w:val="en-US" w:eastAsia="zh-CN"/>
              </w:rPr>
              <w:t>包括</w:t>
            </w:r>
            <w:r>
              <w:rPr>
                <w:rFonts w:hint="eastAsia" w:ascii="宋体" w:hAnsi="宋体" w:eastAsia="宋体" w:cs="宋体"/>
                <w:color w:val="auto"/>
                <w:spacing w:val="-8"/>
                <w:sz w:val="24"/>
                <w:szCs w:val="24"/>
                <w:highlight w:val="none"/>
                <w:lang w:val="en-US" w:eastAsia="zh-CN"/>
              </w:rPr>
              <w:t>意外险</w:t>
            </w:r>
            <w:r>
              <w:rPr>
                <w:rFonts w:ascii="宋体" w:hAnsi="宋体" w:eastAsia="宋体" w:cs="宋体"/>
                <w:color w:val="auto"/>
                <w:sz w:val="24"/>
                <w:szCs w:val="24"/>
                <w:highlight w:val="none"/>
              </w:rPr>
              <w:t>或雇主责任险）的</w:t>
            </w:r>
            <w:r>
              <w:rPr>
                <w:rFonts w:hint="eastAsia" w:ascii="宋体" w:hAnsi="宋体" w:cs="宋体"/>
                <w:color w:val="auto"/>
                <w:sz w:val="24"/>
                <w:szCs w:val="24"/>
                <w:highlight w:val="none"/>
                <w:lang w:eastAsia="zh-CN"/>
              </w:rPr>
              <w:t>，每人死亡伤残赔付限额不低于</w:t>
            </w:r>
            <w:r>
              <w:rPr>
                <w:rFonts w:hint="eastAsia" w:ascii="宋体" w:hAnsi="宋体" w:cs="宋体"/>
                <w:color w:val="auto"/>
                <w:sz w:val="24"/>
                <w:szCs w:val="24"/>
                <w:highlight w:val="none"/>
                <w:lang w:val="en-US" w:eastAsia="zh-CN"/>
              </w:rPr>
              <w:t>80万的</w:t>
            </w:r>
            <w:r>
              <w:rPr>
                <w:rFonts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2</w:t>
            </w:r>
            <w:r>
              <w:rPr>
                <w:rFonts w:ascii="宋体" w:hAnsi="宋体" w:eastAsia="宋体" w:cs="宋体"/>
                <w:color w:val="auto"/>
                <w:sz w:val="24"/>
                <w:szCs w:val="24"/>
                <w:highlight w:val="none"/>
              </w:rPr>
              <w:t>分。</w:t>
            </w:r>
          </w:p>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ascii="宋体" w:hAnsi="宋体" w:eastAsia="宋体" w:cs="宋体"/>
                <w:color w:val="auto"/>
                <w:sz w:val="24"/>
                <w:szCs w:val="24"/>
                <w:highlight w:val="none"/>
              </w:rPr>
              <w:t>注：须提供有效</w:t>
            </w:r>
            <w:r>
              <w:rPr>
                <w:rFonts w:hint="eastAsia" w:ascii="宋体" w:hAnsi="宋体" w:eastAsia="宋体" w:cs="宋体"/>
                <w:color w:val="auto"/>
                <w:sz w:val="24"/>
                <w:szCs w:val="24"/>
                <w:highlight w:val="none"/>
              </w:rPr>
              <w:t>保险单据</w:t>
            </w:r>
            <w:r>
              <w:rPr>
                <w:rFonts w:ascii="宋体" w:hAnsi="宋体" w:eastAsia="宋体" w:cs="宋体"/>
                <w:color w:val="auto"/>
                <w:sz w:val="24"/>
                <w:szCs w:val="24"/>
                <w:highlight w:val="none"/>
              </w:rPr>
              <w:t>的复印件并加盖公章、投标人购置发票复印件并加盖公章</w:t>
            </w:r>
            <w:r>
              <w:rPr>
                <w:rFonts w:hint="eastAsia" w:ascii="宋体" w:hAnsi="宋体" w:eastAsia="宋体" w:cs="宋体"/>
                <w:color w:val="auto"/>
                <w:sz w:val="24"/>
                <w:szCs w:val="24"/>
                <w:highlight w:val="none"/>
              </w:rPr>
              <w:t>及保险承保明细表</w:t>
            </w:r>
            <w:r>
              <w:rPr>
                <w:rFonts w:ascii="宋体" w:hAnsi="宋体" w:eastAsia="宋体" w:cs="宋体"/>
                <w:color w:val="auto"/>
                <w:sz w:val="24"/>
                <w:szCs w:val="24"/>
                <w:highlight w:val="none"/>
              </w:rPr>
              <w:t>加盖公章</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或</w:t>
            </w:r>
            <w:r>
              <w:rPr>
                <w:rFonts w:ascii="宋体" w:hAnsi="宋体" w:eastAsia="宋体" w:cs="宋体"/>
                <w:color w:val="auto"/>
                <w:sz w:val="24"/>
                <w:szCs w:val="24"/>
                <w:highlight w:val="none"/>
              </w:rPr>
              <w:t>提供承诺函（格式自拟），并加盖公章</w:t>
            </w:r>
            <w:r>
              <w:rPr>
                <w:rFonts w:hint="eastAsia" w:ascii="宋体" w:hAnsi="宋体" w:cs="宋体"/>
                <w:color w:val="auto"/>
                <w:sz w:val="24"/>
                <w:szCs w:val="24"/>
                <w:highlight w:val="none"/>
                <w:lang w:eastAsia="zh-CN"/>
              </w:rPr>
              <w:t>。</w:t>
            </w:r>
            <w:r>
              <w:rPr>
                <w:rFonts w:ascii="宋体" w:hAnsi="宋体" w:eastAsia="宋体" w:cs="宋体"/>
                <w:color w:val="auto"/>
                <w:sz w:val="24"/>
                <w:szCs w:val="24"/>
                <w:highlight w:val="none"/>
              </w:rPr>
              <w:t>上述材料提供不全或未提供者本项不得分。若发现投标人提供虚假</w:t>
            </w:r>
            <w:r>
              <w:rPr>
                <w:rFonts w:hint="eastAsia" w:ascii="宋体" w:hAnsi="宋体" w:cs="宋体"/>
                <w:color w:val="auto"/>
                <w:sz w:val="24"/>
                <w:szCs w:val="24"/>
                <w:highlight w:val="none"/>
                <w:lang w:val="en-US" w:eastAsia="zh-CN"/>
              </w:rPr>
              <w:t>材料</w:t>
            </w:r>
            <w:r>
              <w:rPr>
                <w:rFonts w:ascii="宋体" w:hAnsi="宋体" w:eastAsia="宋体" w:cs="宋体"/>
                <w:color w:val="auto"/>
                <w:sz w:val="24"/>
                <w:szCs w:val="24"/>
                <w:highlight w:val="none"/>
              </w:rPr>
              <w:t>的，</w:t>
            </w:r>
            <w:r>
              <w:rPr>
                <w:rFonts w:hint="eastAsia" w:ascii="宋体" w:hAnsi="宋体" w:eastAsia="宋体" w:cs="宋体"/>
                <w:color w:val="auto"/>
                <w:sz w:val="24"/>
                <w:szCs w:val="24"/>
                <w:highlight w:val="none"/>
              </w:rPr>
              <w:t>中标企业取消中标资格</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采购人有权终止合同并追究相应的法律责任和进行相应的赔偿。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110" w:hRule="atLeast"/>
        </w:trPr>
        <w:tc>
          <w:tcPr>
            <w:tcW w:w="102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4、体系认证证书</w:t>
            </w: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numPr>
                <w:ilvl w:val="0"/>
                <w:numId w:val="2"/>
              </w:numPr>
              <w:suppressLineNumbers w:val="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投标人通过质量管理体系认证并在认证有效期限内的得1分。（2）投标人通过环境管理体系认证并在认证有效期限内的得1分。（3）投标人通过职业健康安全管理体系认证并在认证有效期限内得1分。</w:t>
            </w:r>
          </w:p>
          <w:p>
            <w:pPr>
              <w:keepNext w:val="0"/>
              <w:keepLines w:val="0"/>
              <w:widowControl/>
              <w:numPr>
                <w:ilvl w:val="0"/>
                <w:numId w:val="0"/>
              </w:numPr>
              <w:suppressLineNumbers w:val="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w:t>
            </w:r>
            <w:r>
              <w:rPr>
                <w:rFonts w:hint="eastAsia" w:ascii="宋体" w:hAnsi="宋体" w:eastAsia="宋体" w:cs="宋体"/>
                <w:b w:val="0"/>
                <w:bCs/>
                <w:color w:val="auto"/>
                <w:sz w:val="24"/>
                <w:szCs w:val="24"/>
                <w:highlight w:val="none"/>
              </w:rPr>
              <w:t>投标人应在投标文件中附上相关有效认证证书复印件</w:t>
            </w:r>
            <w:r>
              <w:rPr>
                <w:rFonts w:hint="eastAsia" w:ascii="宋体" w:hAnsi="宋体" w:eastAsia="宋体" w:cs="宋体"/>
                <w:b w:val="0"/>
                <w:bCs/>
                <w:color w:val="auto"/>
                <w:sz w:val="24"/>
                <w:szCs w:val="24"/>
                <w:highlight w:val="none"/>
                <w:lang w:eastAsia="zh-CN"/>
              </w:rPr>
              <w:t>及</w:t>
            </w: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"http://www.so.com/link?m=aZXc8GeoCz5rk30f1F73FwwRe9gLZEUrsC3aIkdbd38dKrZ/49R1cWBacd6fvuZj8zcQC1qtOKqdq5s1csCiXNnbYASXRUEkZ9dPp/6v/LmY=" \t "https://www.so.com/_blank"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bCs/>
                <w:color w:val="auto"/>
                <w:sz w:val="24"/>
                <w:szCs w:val="24"/>
                <w:highlight w:val="none"/>
                <w:lang w:val="en-US" w:eastAsia="zh-CN"/>
              </w:rPr>
              <w:t>中国国家认证认可监督管理委员会</w:t>
            </w:r>
            <w:r>
              <w:rPr>
                <w:rFonts w:hint="eastAsia" w:ascii="宋体" w:hAnsi="宋体" w:eastAsia="宋体" w:cs="宋体"/>
                <w:bCs/>
                <w:color w:val="auto"/>
                <w:sz w:val="24"/>
                <w:szCs w:val="24"/>
                <w:highlight w:val="none"/>
                <w:lang w:val="en-US" w:eastAsia="zh-CN"/>
              </w:rPr>
              <w:fldChar w:fldCharType="end"/>
            </w:r>
            <w:r>
              <w:rPr>
                <w:rFonts w:ascii="宋体" w:hAnsi="宋体" w:eastAsia="宋体" w:cs="宋体"/>
                <w:color w:val="auto"/>
                <w:sz w:val="24"/>
                <w:szCs w:val="24"/>
                <w:highlight w:val="none"/>
              </w:rPr>
              <w:t>或中国合格评定国家认可委员会</w:t>
            </w:r>
            <w:r>
              <w:rPr>
                <w:rFonts w:hint="eastAsia" w:ascii="宋体" w:hAnsi="宋体" w:eastAsia="宋体" w:cs="宋体"/>
                <w:bCs/>
                <w:color w:val="auto"/>
                <w:sz w:val="24"/>
                <w:szCs w:val="24"/>
                <w:highlight w:val="none"/>
                <w:lang w:val="en-US" w:eastAsia="zh-CN"/>
              </w:rPr>
              <w:t>统一查询截图，</w:t>
            </w:r>
            <w:r>
              <w:rPr>
                <w:rFonts w:hint="eastAsia" w:ascii="宋体" w:hAnsi="宋体" w:eastAsia="宋体" w:cs="宋体"/>
                <w:b w:val="0"/>
                <w:bCs/>
                <w:color w:val="auto"/>
                <w:sz w:val="24"/>
                <w:szCs w:val="24"/>
                <w:highlight w:val="none"/>
              </w:rPr>
              <w:t>并加盖投标人单位公章。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155" w:hRule="atLeast"/>
        </w:trPr>
        <w:tc>
          <w:tcPr>
            <w:tcW w:w="1028" w:type="dxa"/>
            <w:vMerge w:val="restart"/>
            <w:tcBorders>
              <w:top w:val="outset" w:color="auto" w:sz="6" w:space="0"/>
              <w:left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5、企业荣誉</w:t>
            </w: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numPr>
                <w:ilvl w:val="0"/>
                <w:numId w:val="0"/>
              </w:numPr>
              <w:suppressLineNumbers w:val="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投标人因新冠疫情防控工作</w:t>
            </w:r>
            <w:r>
              <w:rPr>
                <w:rFonts w:hint="eastAsia" w:ascii="宋体" w:hAnsi="宋体" w:cs="宋体"/>
                <w:color w:val="auto"/>
                <w:sz w:val="24"/>
                <w:szCs w:val="24"/>
                <w:highlight w:val="none"/>
                <w:lang w:val="en-US" w:eastAsia="zh-CN"/>
              </w:rPr>
              <w:t>或中华人民共和国传染病防治</w:t>
            </w:r>
            <w:r>
              <w:rPr>
                <w:rFonts w:hint="eastAsia" w:ascii="宋体" w:hAnsi="宋体" w:cs="宋体"/>
                <w:color w:val="auto"/>
                <w:sz w:val="24"/>
                <w:szCs w:val="24"/>
                <w:highlight w:val="none"/>
                <w:lang w:eastAsia="zh-CN"/>
              </w:rPr>
              <w:t>防控工作</w:t>
            </w:r>
            <w:r>
              <w:rPr>
                <w:rFonts w:hint="eastAsia" w:ascii="宋体" w:hAnsi="宋体" w:cs="宋体"/>
                <w:color w:val="auto"/>
                <w:sz w:val="24"/>
                <w:szCs w:val="24"/>
                <w:highlight w:val="none"/>
                <w:lang w:val="en-US" w:eastAsia="zh-CN"/>
              </w:rPr>
              <w:t>或</w:t>
            </w:r>
            <w:r>
              <w:rPr>
                <w:rFonts w:hint="eastAsia" w:ascii="宋体" w:hAnsi="宋体" w:cs="宋体"/>
                <w:color w:val="auto"/>
                <w:sz w:val="24"/>
                <w:szCs w:val="24"/>
                <w:highlight w:val="none"/>
                <w:lang w:eastAsia="zh-CN"/>
              </w:rPr>
              <w:t>突发公共卫生事件</w:t>
            </w:r>
            <w:r>
              <w:rPr>
                <w:rFonts w:hint="eastAsia" w:ascii="宋体" w:hAnsi="宋体" w:cs="宋体"/>
                <w:color w:val="auto"/>
                <w:sz w:val="24"/>
                <w:szCs w:val="24"/>
                <w:highlight w:val="none"/>
                <w:lang w:val="en-US" w:eastAsia="zh-CN"/>
              </w:rPr>
              <w:t>防控</w:t>
            </w:r>
            <w:r>
              <w:rPr>
                <w:rFonts w:hint="eastAsia" w:ascii="宋体" w:hAnsi="宋体" w:cs="宋体"/>
                <w:color w:val="auto"/>
                <w:sz w:val="24"/>
                <w:szCs w:val="24"/>
                <w:highlight w:val="none"/>
                <w:lang w:eastAsia="zh-CN"/>
              </w:rPr>
              <w:t>工作受到县区级（含）以上行政主管部门通报表扬或表彰的（须提供表扬或表彰文件复印件）的得</w:t>
            </w:r>
            <w:r>
              <w:rPr>
                <w:rFonts w:hint="eastAsia" w:ascii="宋体" w:hAnsi="宋体" w:cs="宋体"/>
                <w:color w:val="auto"/>
                <w:sz w:val="24"/>
                <w:szCs w:val="24"/>
                <w:highlight w:val="none"/>
                <w:lang w:val="en-US" w:eastAsia="zh-CN"/>
              </w:rPr>
              <w:t>1分。原件备查，若发现提供虚假材料，取消其投标资格。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028" w:type="dxa"/>
            <w:vMerge w:val="continue"/>
            <w:tcBorders>
              <w:left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numPr>
                <w:ilvl w:val="0"/>
                <w:numId w:val="0"/>
              </w:numPr>
              <w:suppressLineNumbers w:val="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投标人在垃圾分类处理方面获得过行政单位颁发相关工作荣誉或表彰的得</w:t>
            </w:r>
            <w:r>
              <w:rPr>
                <w:rFonts w:hint="eastAsia" w:ascii="宋体" w:hAnsi="宋体" w:cs="宋体"/>
                <w:color w:val="auto"/>
                <w:sz w:val="24"/>
                <w:szCs w:val="24"/>
                <w:highlight w:val="none"/>
                <w:lang w:val="en-US" w:eastAsia="zh-CN"/>
              </w:rPr>
              <w:t>1分，提供相关证明材料，否则不得分。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040" w:hRule="atLeast"/>
        </w:trPr>
        <w:tc>
          <w:tcPr>
            <w:tcW w:w="1028" w:type="dxa"/>
            <w:vMerge w:val="continue"/>
            <w:tcBorders>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p>
        </w:tc>
        <w:tc>
          <w:tcPr>
            <w:tcW w:w="12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w:t>
            </w:r>
          </w:p>
        </w:tc>
        <w:tc>
          <w:tcPr>
            <w:tcW w:w="61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numPr>
                <w:ilvl w:val="0"/>
                <w:numId w:val="0"/>
              </w:numPr>
              <w:suppressLineNumbers w:val="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投标人有成立党支部的得</w:t>
            </w:r>
            <w:r>
              <w:rPr>
                <w:rFonts w:hint="eastAsia" w:ascii="宋体" w:hAnsi="宋体" w:cs="宋体"/>
                <w:color w:val="auto"/>
                <w:sz w:val="24"/>
                <w:szCs w:val="24"/>
                <w:highlight w:val="none"/>
                <w:lang w:val="en-US" w:eastAsia="zh-CN"/>
              </w:rPr>
              <w:t>1分；有成立工会组织的得1分，满分2分。须提供相关上级批文或相关证明材料的复印件并加盖公章，未提供的不得分。</w:t>
            </w:r>
          </w:p>
        </w:tc>
      </w:tr>
    </w:tbl>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sz w:val="24"/>
          <w:szCs w:val="24"/>
          <w:highlight w:val="none"/>
        </w:rPr>
      </w:pP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④加分项（F4×A4）</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a.优先类节能产品、环境标志产品：</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highlight w:val="none"/>
        </w:rPr>
        <w:br w:type="textWrapping"/>
      </w:r>
      <w:r>
        <w:rPr>
          <w:rStyle w:val="17"/>
          <w:rFonts w:hint="eastAsia" w:ascii="宋体" w:hAnsi="宋体" w:eastAsia="宋体" w:cs="宋体"/>
          <w:b/>
          <w:color w:val="auto"/>
          <w:sz w:val="24"/>
          <w:szCs w:val="24"/>
          <w:highlight w:val="none"/>
          <w:lang w:eastAsia="zh-CN"/>
        </w:rPr>
        <w:t xml:space="preserve">   </w:t>
      </w:r>
      <w:r>
        <w:rPr>
          <w:rStyle w:val="17"/>
          <w:rFonts w:hint="eastAsia" w:ascii="宋体" w:hAnsi="宋体" w:eastAsia="宋体" w:cs="宋体"/>
          <w:b/>
          <w:color w:val="auto"/>
          <w:sz w:val="24"/>
          <w:szCs w:val="24"/>
          <w:highlight w:val="none"/>
        </w:rPr>
        <w:t>无</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（4）中标候选人排列规则顺序如下：</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a.按照评标总得分（FA）由高到低顺序排列。</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b.评标总得分（FA）相同的，按照评标价（即价格扣除后的投标报价）由低到高顺序排列。</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c.评标总得分（FA）且评标价（即价格扣除后的投标报价）相同的并列。</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8、其他规定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8.1评标应全程保密且不得透露给任一投标人或与评标工作无关的人员。</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8.2评标将进行全程实时录音录像，录音录像资料随采购文件一并存档。</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8.3若投标人有任何试图干扰具体评标事务，影响评标委员会独立履行职责的行为，其投标无效且不予退还投标保证金。情节严重的，由财政部门列入不良行为记录。</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8.4其他：无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br w:type="page"/>
      </w:r>
    </w:p>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4" w:name="_Toc12574"/>
      <w:r>
        <w:rPr>
          <w:rStyle w:val="17"/>
          <w:rFonts w:hint="eastAsia" w:ascii="宋体" w:hAnsi="宋体" w:eastAsia="宋体" w:cs="宋体"/>
          <w:b/>
          <w:color w:val="auto"/>
          <w:spacing w:val="0"/>
          <w:sz w:val="31"/>
          <w:szCs w:val="31"/>
          <w:highlight w:val="none"/>
        </w:rPr>
        <w:t>第五章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招标内容及要求</w:t>
      </w:r>
      <w:bookmarkEnd w:id="4"/>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一、项目概况（采购标的）</w:t>
      </w:r>
    </w:p>
    <w:p>
      <w:pPr>
        <w:pageBreakBefore w:val="0"/>
        <w:kinsoku/>
        <w:wordWrap/>
        <w:overflowPunct/>
        <w:topLinePunct w:val="0"/>
        <w:autoSpaceDE/>
        <w:autoSpaceDN/>
        <w:bidi w:val="0"/>
        <w:adjustRightInd/>
        <w:snapToGrid/>
        <w:spacing w:line="440" w:lineRule="exact"/>
        <w:ind w:right="0" w:rightChars="0" w:firstLine="482" w:firstLineChars="200"/>
        <w:textAlignment w:val="auto"/>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w:t>
      </w:r>
      <w:r>
        <w:rPr>
          <w:rFonts w:hint="eastAsia" w:ascii="宋体" w:hAnsi="宋体"/>
          <w:b/>
          <w:color w:val="auto"/>
          <w:sz w:val="24"/>
          <w:szCs w:val="24"/>
          <w:highlight w:val="none"/>
        </w:rPr>
        <w:t>一）基本情况：</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1、物业名称：台江文化活动中心</w:t>
      </w:r>
    </w:p>
    <w:p>
      <w:pPr>
        <w:pageBreakBefore w:val="0"/>
        <w:numPr>
          <w:ilvl w:val="0"/>
          <w:numId w:val="3"/>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物业地点：台江区学军路92号</w:t>
      </w:r>
    </w:p>
    <w:p>
      <w:pPr>
        <w:pageBreakBefore w:val="0"/>
        <w:numPr>
          <w:ilvl w:val="0"/>
          <w:numId w:val="3"/>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性质：办公、活动中心综合楼</w:t>
      </w:r>
    </w:p>
    <w:p>
      <w:pPr>
        <w:pageBreakBefore w:val="0"/>
        <w:numPr>
          <w:ilvl w:val="0"/>
          <w:numId w:val="3"/>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占地面积：11.77亩</w:t>
      </w:r>
    </w:p>
    <w:p>
      <w:pPr>
        <w:pageBreakBefore w:val="0"/>
        <w:numPr>
          <w:ilvl w:val="0"/>
          <w:numId w:val="3"/>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层数：地上建筑层数为十一层，地下一层；</w:t>
      </w:r>
    </w:p>
    <w:p>
      <w:pPr>
        <w:pageBreakBefore w:val="0"/>
        <w:numPr>
          <w:ilvl w:val="0"/>
          <w:numId w:val="3"/>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总建筑面积：20660平方米其中：地上建筑面积：13760平方米，派出所及洋中街道面积3600平方米、地下室面积：3300平方米；</w:t>
      </w:r>
    </w:p>
    <w:p>
      <w:pPr>
        <w:pageBreakBefore w:val="0"/>
        <w:numPr>
          <w:ilvl w:val="0"/>
          <w:numId w:val="3"/>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地下停车场机动车位：54位；非机动停车位：81位。</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2、配套设施：</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设置3部</w:t>
      </w:r>
      <w:r>
        <w:rPr>
          <w:rFonts w:hint="eastAsia" w:ascii="宋体" w:hAnsi="宋体"/>
          <w:color w:val="auto"/>
          <w:sz w:val="24"/>
          <w:szCs w:val="24"/>
          <w:highlight w:val="none"/>
          <w:lang w:eastAsia="zh-CN"/>
        </w:rPr>
        <w:t>电梯</w:t>
      </w:r>
      <w:r>
        <w:rPr>
          <w:rFonts w:hint="eastAsia" w:ascii="宋体" w:hAnsi="宋体"/>
          <w:color w:val="auto"/>
          <w:sz w:val="24"/>
          <w:szCs w:val="24"/>
          <w:highlight w:val="none"/>
        </w:rPr>
        <w:t>；</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设置消防疏散楼道5个；</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高低压配电房、消控中心设在地面一层；</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发电机房设在地下一层；</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水泵房设在地下一层；</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裙楼设置中央空调系统，主楼另安装分体空调；</w:t>
      </w:r>
    </w:p>
    <w:p>
      <w:pPr>
        <w:pageBreakBefore w:val="0"/>
        <w:numPr>
          <w:ilvl w:val="0"/>
          <w:numId w:val="4"/>
        </w:numPr>
        <w:tabs>
          <w:tab w:val="left" w:pos="567"/>
          <w:tab w:val="left" w:pos="1260"/>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大楼路口及外围设置监控探头。</w:t>
      </w:r>
    </w:p>
    <w:p>
      <w:pPr>
        <w:pageBreakBefore w:val="0"/>
        <w:widowControl/>
        <w:numPr>
          <w:ilvl w:val="0"/>
          <w:numId w:val="5"/>
        </w:numPr>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rPr>
        <w:t>出入口：主入口二个</w:t>
      </w:r>
      <w:r>
        <w:rPr>
          <w:rFonts w:hint="eastAsia" w:ascii="宋体" w:hAnsi="宋体"/>
          <w:color w:val="auto"/>
          <w:sz w:val="24"/>
          <w:szCs w:val="24"/>
          <w:highlight w:val="none"/>
          <w:lang w:eastAsia="zh-CN"/>
        </w:rPr>
        <w:t>。</w:t>
      </w:r>
    </w:p>
    <w:p>
      <w:pPr>
        <w:pageBreakBefore w:val="0"/>
        <w:widowControl/>
        <w:numPr>
          <w:ilvl w:val="0"/>
          <w:numId w:val="0"/>
        </w:numPr>
        <w:kinsoku/>
        <w:wordWrap/>
        <w:overflowPunct/>
        <w:topLinePunct w:val="0"/>
        <w:autoSpaceDE/>
        <w:autoSpaceDN/>
        <w:bidi w:val="0"/>
        <w:adjustRightInd/>
        <w:snapToGrid/>
        <w:spacing w:line="440" w:lineRule="exact"/>
        <w:ind w:right="0" w:rightChars="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lang w:eastAsia="zh-CN"/>
        </w:rPr>
        <w:t>大门一个、侧门一个（洋中街道及洋中派出所公用）</w:t>
      </w:r>
      <w:r>
        <w:rPr>
          <w:rFonts w:hint="eastAsia" w:ascii="宋体" w:hAnsi="宋体"/>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4、其他(主楼共11层，楼层办公室安排情况)</w:t>
      </w:r>
    </w:p>
    <w:p>
      <w:pPr>
        <w:pageBreakBefore w:val="0"/>
        <w:numPr>
          <w:ilvl w:val="0"/>
          <w:numId w:val="6"/>
        </w:numPr>
        <w:tabs>
          <w:tab w:val="left" w:pos="567"/>
        </w:tabs>
        <w:kinsoku/>
        <w:wordWrap/>
        <w:overflowPunct/>
        <w:topLinePunct w:val="0"/>
        <w:autoSpaceDE/>
        <w:autoSpaceDN/>
        <w:bidi w:val="0"/>
        <w:adjustRightInd/>
        <w:snapToGrid/>
        <w:spacing w:line="440" w:lineRule="exact"/>
        <w:ind w:right="0" w:rightChars="0" w:firstLine="120"/>
        <w:textAlignment w:val="auto"/>
        <w:rPr>
          <w:rFonts w:hint="eastAsia" w:ascii="宋体" w:hAnsi="宋体"/>
          <w:color w:val="auto"/>
          <w:sz w:val="24"/>
          <w:szCs w:val="24"/>
          <w:highlight w:val="none"/>
        </w:rPr>
      </w:pPr>
      <w:r>
        <w:rPr>
          <w:rFonts w:hint="eastAsia" w:ascii="宋体" w:hAnsi="宋体"/>
          <w:color w:val="auto"/>
          <w:sz w:val="24"/>
          <w:szCs w:val="24"/>
          <w:highlight w:val="none"/>
        </w:rPr>
        <w:t>主楼东侧</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第一层设置为老干部活动中心；</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第二层、第三层设置有青少年活动中心；</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第四层、第五层设置有普通教育、多媒体教室、党校办公用房；</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第六层设置为文化馆；</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第七层设置为图书馆；</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第八层设置为档案局</w:t>
      </w:r>
      <w:r>
        <w:rPr>
          <w:rFonts w:hint="eastAsia" w:ascii="宋体" w:hAnsi="宋体"/>
          <w:color w:val="auto"/>
          <w:sz w:val="24"/>
          <w:szCs w:val="24"/>
          <w:highlight w:val="none"/>
          <w:lang w:eastAsia="zh-CN"/>
        </w:rPr>
        <w:t>及会议室</w:t>
      </w:r>
      <w:r>
        <w:rPr>
          <w:rFonts w:hint="eastAsia" w:ascii="宋体" w:hAnsi="宋体"/>
          <w:color w:val="auto"/>
          <w:sz w:val="24"/>
          <w:szCs w:val="24"/>
          <w:highlight w:val="none"/>
        </w:rPr>
        <w:t>；</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第九层设置有团委、妇联、档案局等办公用房</w:t>
      </w:r>
      <w:r>
        <w:rPr>
          <w:rFonts w:hint="eastAsia" w:ascii="宋体" w:hAnsi="宋体"/>
          <w:color w:val="auto"/>
          <w:sz w:val="24"/>
          <w:szCs w:val="24"/>
          <w:highlight w:val="none"/>
          <w:lang w:eastAsia="zh-CN"/>
        </w:rPr>
        <w:t>及会议室</w:t>
      </w:r>
      <w:r>
        <w:rPr>
          <w:rFonts w:hint="eastAsia" w:ascii="宋体" w:hAnsi="宋体"/>
          <w:color w:val="auto"/>
          <w:sz w:val="24"/>
          <w:szCs w:val="24"/>
          <w:highlight w:val="none"/>
        </w:rPr>
        <w:t>；</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第十层设置有工会、老龄委、文体局、老干局等办公用房；</w:t>
      </w:r>
    </w:p>
    <w:p>
      <w:pPr>
        <w:pageBreakBefore w:val="0"/>
        <w:numPr>
          <w:ilvl w:val="0"/>
          <w:numId w:val="7"/>
        </w:numPr>
        <w:kinsoku/>
        <w:wordWrap/>
        <w:overflowPunct/>
        <w:topLinePunct w:val="0"/>
        <w:autoSpaceDE/>
        <w:autoSpaceDN/>
        <w:bidi w:val="0"/>
        <w:adjustRightInd/>
        <w:snapToGrid/>
        <w:spacing w:line="440" w:lineRule="exact"/>
        <w:ind w:left="1044" w:leftChars="0" w:right="0" w:rightChars="0" w:firstLine="6"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第十一层设置为多功能会议室；</w:t>
      </w:r>
    </w:p>
    <w:p>
      <w:pPr>
        <w:pageBreakBefore w:val="0"/>
        <w:numPr>
          <w:ilvl w:val="0"/>
          <w:numId w:val="6"/>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主楼西侧第一层至第十一层设置为街道和派出所办公用房。</w:t>
      </w:r>
    </w:p>
    <w:p>
      <w:pPr>
        <w:pageBreakBefore w:val="0"/>
        <w:numPr>
          <w:ilvl w:val="0"/>
          <w:numId w:val="6"/>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电源机房、配电房、消控中心设于一层；</w:t>
      </w:r>
    </w:p>
    <w:p>
      <w:pPr>
        <w:pageBreakBefore w:val="0"/>
        <w:numPr>
          <w:ilvl w:val="0"/>
          <w:numId w:val="6"/>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裙楼共4层，其中一层为多功能会场，520个座位；二层音响室、办公室；三层为室内篮球场、羽毛球场</w:t>
      </w:r>
      <w:r>
        <w:rPr>
          <w:rFonts w:hint="eastAsia" w:ascii="宋体" w:hAnsi="宋体"/>
          <w:color w:val="auto"/>
          <w:sz w:val="24"/>
          <w:szCs w:val="24"/>
          <w:highlight w:val="none"/>
          <w:lang w:eastAsia="zh-CN"/>
        </w:rPr>
        <w:t>合并公用</w:t>
      </w:r>
      <w:r>
        <w:rPr>
          <w:rFonts w:hint="eastAsia" w:ascii="宋体" w:hAnsi="宋体"/>
          <w:color w:val="auto"/>
          <w:sz w:val="24"/>
          <w:szCs w:val="24"/>
          <w:highlight w:val="none"/>
        </w:rPr>
        <w:t>；四层乒乓球场</w:t>
      </w:r>
      <w:r>
        <w:rPr>
          <w:rFonts w:hint="eastAsia" w:ascii="宋体" w:hAnsi="宋体"/>
          <w:color w:val="auto"/>
          <w:sz w:val="24"/>
          <w:szCs w:val="24"/>
          <w:highlight w:val="none"/>
          <w:lang w:eastAsia="zh-CN"/>
        </w:rPr>
        <w:t>及办公场所</w:t>
      </w:r>
      <w:r>
        <w:rPr>
          <w:rFonts w:hint="eastAsia" w:ascii="宋体" w:hAnsi="宋体"/>
          <w:color w:val="auto"/>
          <w:sz w:val="24"/>
          <w:szCs w:val="24"/>
          <w:highlight w:val="none"/>
        </w:rPr>
        <w:t>。</w:t>
      </w:r>
    </w:p>
    <w:p>
      <w:pPr>
        <w:pageBreakBefore w:val="0"/>
        <w:numPr>
          <w:ilvl w:val="0"/>
          <w:numId w:val="6"/>
        </w:numPr>
        <w:tabs>
          <w:tab w:val="left" w:pos="567"/>
        </w:tabs>
        <w:kinsoku/>
        <w:wordWrap/>
        <w:overflowPunct/>
        <w:topLinePunct w:val="0"/>
        <w:autoSpaceDE/>
        <w:autoSpaceDN/>
        <w:bidi w:val="0"/>
        <w:adjustRightInd/>
        <w:snapToGrid/>
        <w:spacing w:line="440" w:lineRule="exact"/>
        <w:ind w:left="1260" w:right="0" w:rightChars="0" w:hanging="720"/>
        <w:textAlignment w:val="auto"/>
        <w:rPr>
          <w:rFonts w:hint="eastAsia" w:ascii="宋体" w:hAnsi="宋体"/>
          <w:color w:val="auto"/>
          <w:sz w:val="24"/>
          <w:szCs w:val="24"/>
          <w:highlight w:val="none"/>
        </w:rPr>
      </w:pPr>
      <w:r>
        <w:rPr>
          <w:rFonts w:hint="eastAsia" w:ascii="宋体" w:hAnsi="宋体"/>
          <w:color w:val="auto"/>
          <w:sz w:val="24"/>
          <w:szCs w:val="24"/>
          <w:highlight w:val="none"/>
        </w:rPr>
        <w:t>地下车库（机动车位54位、非机动车位81</w:t>
      </w:r>
      <w:r>
        <w:rPr>
          <w:rFonts w:hint="eastAsia" w:ascii="宋体" w:hAnsi="宋体"/>
          <w:color w:val="auto"/>
          <w:sz w:val="24"/>
          <w:szCs w:val="24"/>
          <w:highlight w:val="none"/>
          <w:lang w:eastAsia="zh-CN"/>
        </w:rPr>
        <w:t>位</w:t>
      </w:r>
      <w:r>
        <w:rPr>
          <w:rFonts w:hint="eastAsia" w:ascii="宋体" w:hAnsi="宋体"/>
          <w:color w:val="auto"/>
          <w:sz w:val="24"/>
          <w:szCs w:val="24"/>
          <w:highlight w:val="none"/>
        </w:rPr>
        <w:t>）</w:t>
      </w:r>
    </w:p>
    <w:p>
      <w:pPr>
        <w:pStyle w:val="2"/>
        <w:rPr>
          <w:rFonts w:hint="eastAsia"/>
          <w:color w:val="auto"/>
          <w:highlight w:val="none"/>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二、技术和服务要求</w:t>
      </w:r>
      <w:r>
        <w:rPr>
          <w:rStyle w:val="17"/>
          <w:rFonts w:hint="eastAsia" w:ascii="宋体" w:hAnsi="宋体" w:eastAsia="宋体" w:cs="宋体"/>
          <w:b/>
          <w:color w:val="auto"/>
          <w:spacing w:val="0"/>
          <w:sz w:val="24"/>
          <w:szCs w:val="24"/>
          <w:highlight w:val="none"/>
        </w:rPr>
        <w:t>（以“★”标示的内容为不允许负偏离的实质性要求）</w:t>
      </w:r>
    </w:p>
    <w:p>
      <w:pPr>
        <w:pStyle w:val="12"/>
        <w:widowControl/>
        <w:spacing w:line="384" w:lineRule="atLeast"/>
        <w:rPr>
          <w:rFonts w:ascii="宋体" w:hAnsi="宋体" w:eastAsia="宋体" w:cs="宋体"/>
          <w:color w:val="auto"/>
          <w:kern w:val="0"/>
          <w:sz w:val="24"/>
          <w:highlight w:val="none"/>
        </w:rPr>
      </w:pPr>
      <w:r>
        <w:rPr>
          <w:rStyle w:val="17"/>
          <w:rFonts w:hint="eastAsia" w:ascii="宋体" w:hAnsi="宋体" w:eastAsia="宋体" w:cs="宋体"/>
          <w:color w:val="auto"/>
          <w:sz w:val="21"/>
          <w:szCs w:val="21"/>
          <w:highlight w:val="none"/>
        </w:rPr>
        <w:t>【注意：(一)、服务内容序号“1至</w:t>
      </w:r>
      <w:r>
        <w:rPr>
          <w:rStyle w:val="17"/>
          <w:rFonts w:hint="eastAsia" w:ascii="宋体" w:hAnsi="宋体" w:eastAsia="宋体" w:cs="宋体"/>
          <w:color w:val="auto"/>
          <w:sz w:val="21"/>
          <w:szCs w:val="21"/>
          <w:highlight w:val="none"/>
          <w:lang w:val="en-US" w:eastAsia="zh-CN"/>
        </w:rPr>
        <w:t>20</w:t>
      </w:r>
      <w:r>
        <w:rPr>
          <w:rStyle w:val="17"/>
          <w:rFonts w:hint="eastAsia" w:ascii="宋体" w:hAnsi="宋体" w:eastAsia="宋体" w:cs="宋体"/>
          <w:color w:val="auto"/>
          <w:sz w:val="21"/>
          <w:szCs w:val="21"/>
          <w:highlight w:val="none"/>
        </w:rPr>
        <w:t>”参与“技术项”评分；以“★”标示的内容或注有“</w:t>
      </w:r>
      <w:r>
        <w:rPr>
          <w:rStyle w:val="17"/>
          <w:rFonts w:ascii="宋体" w:hAnsi="宋体" w:eastAsia="宋体" w:cs="宋体"/>
          <w:color w:val="auto"/>
          <w:sz w:val="21"/>
          <w:szCs w:val="21"/>
          <w:highlight w:val="none"/>
        </w:rPr>
        <w:t>投标无效</w:t>
      </w:r>
      <w:r>
        <w:rPr>
          <w:rStyle w:val="17"/>
          <w:rFonts w:hint="eastAsia" w:ascii="宋体" w:hAnsi="宋体" w:eastAsia="宋体" w:cs="宋体"/>
          <w:color w:val="auto"/>
          <w:sz w:val="21"/>
          <w:szCs w:val="21"/>
          <w:highlight w:val="none"/>
        </w:rPr>
        <w:t>”的条款</w:t>
      </w:r>
      <w:r>
        <w:rPr>
          <w:rStyle w:val="17"/>
          <w:rFonts w:hint="eastAsia" w:ascii="宋体" w:hAnsi="宋体" w:eastAsia="宋体" w:cs="宋体"/>
          <w:color w:val="auto"/>
          <w:sz w:val="21"/>
          <w:szCs w:val="21"/>
          <w:highlight w:val="none"/>
          <w:lang w:val="en-US" w:eastAsia="zh-CN"/>
        </w:rPr>
        <w:t>及不参与评分的条款</w:t>
      </w:r>
      <w:r>
        <w:rPr>
          <w:rStyle w:val="17"/>
          <w:rFonts w:hint="eastAsia" w:ascii="宋体" w:hAnsi="宋体" w:eastAsia="宋体" w:cs="宋体"/>
          <w:color w:val="auto"/>
          <w:sz w:val="21"/>
          <w:szCs w:val="21"/>
          <w:highlight w:val="none"/>
        </w:rPr>
        <w:t>均为不允许负偏离的实性质条款。】</w:t>
      </w:r>
    </w:p>
    <w:p>
      <w:pPr>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(一</w:t>
      </w:r>
      <w:r>
        <w:rPr>
          <w:rFonts w:hint="eastAsia" w:ascii="宋体" w:hAnsi="宋体"/>
          <w:b/>
          <w:color w:val="auto"/>
          <w:sz w:val="24"/>
          <w:szCs w:val="24"/>
          <w:highlight w:val="none"/>
        </w:rPr>
        <w:t>）服务内容：</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1、房屋建筑共用部位的</w:t>
      </w:r>
      <w:r>
        <w:rPr>
          <w:rFonts w:hint="eastAsia" w:ascii="宋体" w:hAnsi="宋体"/>
          <w:color w:val="auto"/>
          <w:sz w:val="24"/>
          <w:szCs w:val="24"/>
          <w:highlight w:val="none"/>
          <w:lang w:eastAsia="zh-CN"/>
        </w:rPr>
        <w:t>养护</w:t>
      </w:r>
      <w:r>
        <w:rPr>
          <w:rFonts w:hint="eastAsia" w:ascii="宋体" w:hAnsi="宋体"/>
          <w:color w:val="auto"/>
          <w:sz w:val="24"/>
          <w:szCs w:val="24"/>
          <w:highlight w:val="none"/>
        </w:rPr>
        <w:t>管理，包括：楼盖、屋顶、外墙面、承重结构、楼梯间、走廊通道、门厅</w:t>
      </w:r>
      <w:r>
        <w:rPr>
          <w:rFonts w:hint="eastAsia" w:ascii="宋体" w:hAnsi="宋体"/>
          <w:color w:val="auto"/>
          <w:sz w:val="24"/>
          <w:szCs w:val="24"/>
          <w:highlight w:val="none"/>
          <w:lang w:eastAsia="zh-CN"/>
        </w:rPr>
        <w:t>、会场</w:t>
      </w:r>
      <w:r>
        <w:rPr>
          <w:rFonts w:hint="eastAsia" w:ascii="宋体" w:hAnsi="宋体"/>
          <w:color w:val="auto"/>
          <w:sz w:val="24"/>
          <w:szCs w:val="24"/>
          <w:highlight w:val="none"/>
        </w:rPr>
        <w:t>等。</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2、共用设施、设备的养护、运行和管理，包括：共用的上下水管道、落水管、公用照明、高压泵房、楼内消防设施设备、建筑物防雷设施</w:t>
      </w:r>
      <w:r>
        <w:rPr>
          <w:rFonts w:hint="eastAsia" w:ascii="宋体" w:hAnsi="宋体"/>
          <w:color w:val="auto"/>
          <w:sz w:val="24"/>
          <w:szCs w:val="24"/>
          <w:highlight w:val="none"/>
          <w:lang w:eastAsia="zh-CN"/>
        </w:rPr>
        <w:t>、桌椅</w:t>
      </w:r>
      <w:r>
        <w:rPr>
          <w:rFonts w:hint="eastAsia" w:ascii="宋体" w:hAnsi="宋体"/>
          <w:color w:val="auto"/>
          <w:sz w:val="24"/>
          <w:szCs w:val="24"/>
          <w:highlight w:val="none"/>
        </w:rPr>
        <w:t>等。</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3、红线范围内市政公用设施的附属物、构筑物的维修、养护和管理，包括室外上下水管道、泵房、沟渠、池、自行车棚、停车场内等。</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4、公用绿地、花木、建筑小品等养护与管理</w:t>
      </w:r>
      <w:r>
        <w:rPr>
          <w:rFonts w:hint="eastAsia" w:ascii="宋体" w:hAnsi="宋体"/>
          <w:color w:val="auto"/>
          <w:sz w:val="24"/>
          <w:szCs w:val="24"/>
          <w:highlight w:val="none"/>
          <w:lang w:eastAsia="zh-CN"/>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5、公共环境卫生，包括正大门外延卫生、公共场所、房屋共用部位的清洁卫生、垃圾的收集</w:t>
      </w:r>
      <w:r>
        <w:rPr>
          <w:rFonts w:hint="eastAsia" w:ascii="宋体" w:hAnsi="宋体"/>
          <w:color w:val="auto"/>
          <w:sz w:val="24"/>
          <w:szCs w:val="24"/>
          <w:highlight w:val="none"/>
          <w:lang w:eastAsia="zh-CN"/>
        </w:rPr>
        <w:t>及分类</w:t>
      </w:r>
      <w:r>
        <w:rPr>
          <w:rFonts w:hint="eastAsia" w:ascii="宋体" w:hAnsi="宋体"/>
          <w:color w:val="auto"/>
          <w:sz w:val="24"/>
          <w:szCs w:val="24"/>
          <w:highlight w:val="none"/>
        </w:rPr>
        <w:t>、清运</w:t>
      </w:r>
      <w:r>
        <w:rPr>
          <w:rFonts w:hint="eastAsia" w:ascii="宋体" w:hAnsi="宋体"/>
          <w:color w:val="auto"/>
          <w:sz w:val="24"/>
          <w:szCs w:val="24"/>
          <w:highlight w:val="none"/>
          <w:lang w:eastAsia="zh-CN"/>
        </w:rPr>
        <w:t>，保持环境卫生干净整洁有序</w:t>
      </w:r>
      <w:r>
        <w:rPr>
          <w:rFonts w:hint="eastAsia" w:ascii="宋体" w:hAnsi="宋体"/>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6、交通与车辆停放秩序的管理</w:t>
      </w:r>
      <w:r>
        <w:rPr>
          <w:rFonts w:hint="eastAsia" w:ascii="宋体" w:hAnsi="宋体"/>
          <w:color w:val="auto"/>
          <w:sz w:val="24"/>
          <w:szCs w:val="24"/>
          <w:highlight w:val="none"/>
          <w:lang w:eastAsia="zh-CN"/>
        </w:rPr>
        <w:t>，重大活动期间做好车辆清场、引导工作</w:t>
      </w:r>
      <w:r>
        <w:rPr>
          <w:rFonts w:hint="eastAsia" w:ascii="宋体" w:hAnsi="宋体"/>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rPr>
        <w:t>7、维持</w:t>
      </w:r>
      <w:r>
        <w:rPr>
          <w:rFonts w:hint="eastAsia" w:ascii="宋体" w:hAnsi="宋体"/>
          <w:color w:val="auto"/>
          <w:sz w:val="24"/>
          <w:szCs w:val="24"/>
          <w:highlight w:val="none"/>
          <w:lang w:eastAsia="zh-CN"/>
        </w:rPr>
        <w:t>好</w:t>
      </w:r>
      <w:r>
        <w:rPr>
          <w:rFonts w:hint="eastAsia" w:ascii="宋体" w:hAnsi="宋体"/>
          <w:color w:val="auto"/>
          <w:sz w:val="24"/>
          <w:szCs w:val="24"/>
          <w:highlight w:val="none"/>
        </w:rPr>
        <w:t>公共秩序，包括正大门外延秩序</w:t>
      </w:r>
      <w:r>
        <w:rPr>
          <w:rFonts w:hint="eastAsia" w:ascii="宋体" w:hAnsi="宋体"/>
          <w:color w:val="auto"/>
          <w:sz w:val="24"/>
          <w:szCs w:val="24"/>
          <w:highlight w:val="none"/>
          <w:lang w:eastAsia="zh-CN"/>
        </w:rPr>
        <w:t>，营造文明、舒适、和谐的工作环境。</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8、做好</w:t>
      </w:r>
      <w:r>
        <w:rPr>
          <w:rFonts w:hint="eastAsia" w:ascii="宋体" w:hAnsi="宋体"/>
          <w:color w:val="auto"/>
          <w:sz w:val="24"/>
          <w:szCs w:val="24"/>
          <w:highlight w:val="none"/>
          <w:lang w:eastAsia="zh-CN"/>
        </w:rPr>
        <w:t>做好</w:t>
      </w:r>
      <w:r>
        <w:rPr>
          <w:rFonts w:hint="eastAsia" w:ascii="宋体" w:hAnsi="宋体"/>
          <w:color w:val="auto"/>
          <w:sz w:val="24"/>
          <w:szCs w:val="24"/>
          <w:highlight w:val="none"/>
        </w:rPr>
        <w:t>防火、防盗</w:t>
      </w:r>
      <w:r>
        <w:rPr>
          <w:rFonts w:hint="eastAsia" w:ascii="宋体" w:hAnsi="宋体"/>
          <w:color w:val="auto"/>
          <w:sz w:val="24"/>
          <w:szCs w:val="24"/>
          <w:highlight w:val="none"/>
          <w:lang w:eastAsia="zh-CN"/>
        </w:rPr>
        <w:t>及内部安全防范工作，确保区文化活动中心</w:t>
      </w:r>
      <w:r>
        <w:rPr>
          <w:rFonts w:hint="eastAsia" w:ascii="宋体" w:hAnsi="宋体"/>
          <w:color w:val="auto"/>
          <w:sz w:val="24"/>
          <w:szCs w:val="24"/>
          <w:highlight w:val="none"/>
          <w:lang w:val="en-US" w:eastAsia="zh-CN"/>
        </w:rPr>
        <w:t>财产和人员安全</w:t>
      </w:r>
      <w:r>
        <w:rPr>
          <w:rFonts w:hint="eastAsia" w:ascii="宋体" w:hAnsi="宋体"/>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、管理与物业相关的工程图纸、档案与竣工验收资料以及配套设施如空调、音响、水电设备等设施的安装及维保合同资料等。提醒业主维保期内与维保期后的维修项目。</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、业主</w:t>
      </w:r>
      <w:r>
        <w:rPr>
          <w:rFonts w:hint="eastAsia" w:ascii="宋体" w:hAnsi="宋体"/>
          <w:color w:val="auto"/>
          <w:sz w:val="24"/>
          <w:szCs w:val="24"/>
          <w:highlight w:val="none"/>
          <w:lang w:eastAsia="zh-CN"/>
        </w:rPr>
        <w:t>、物业使用人</w:t>
      </w:r>
      <w:r>
        <w:rPr>
          <w:rFonts w:hint="eastAsia" w:ascii="宋体" w:hAnsi="宋体"/>
          <w:color w:val="auto"/>
          <w:sz w:val="24"/>
          <w:szCs w:val="24"/>
          <w:highlight w:val="none"/>
        </w:rPr>
        <w:t>房屋自用部位，自用设施及设备的维修、养护，在当事人提出委托时，中标人原则上应接受委托并合理收费，收费标准由当事双方协商。</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、各楼层会议室的日常管理及会务、音响工作，同时积极配合业主做好其他大型活动或重要会议接待等。</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、代收代缴部分楼层水电费（具体单位楼层以采购人书面通知为准），每2个月收缴一次，所收水电费中标人应建立台账，并于每2个月后的最后一天向采购人缴交。</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13、配合做好信访及重大活动安全维稳工作。</w:t>
      </w:r>
      <w:r>
        <w:rPr>
          <w:rFonts w:hint="eastAsia" w:ascii="宋体" w:hAnsi="宋体"/>
          <w:color w:val="auto"/>
          <w:sz w:val="24"/>
          <w:szCs w:val="24"/>
          <w:highlight w:val="none"/>
        </w:rPr>
        <w:t>对物业使用人违反有关物业管理规定的行为，</w:t>
      </w:r>
      <w:r>
        <w:rPr>
          <w:rFonts w:hint="eastAsia" w:ascii="宋体" w:hAnsi="宋体"/>
          <w:color w:val="auto"/>
          <w:sz w:val="24"/>
          <w:szCs w:val="24"/>
          <w:highlight w:val="none"/>
          <w:lang w:eastAsia="zh-CN"/>
        </w:rPr>
        <w:t>应当及时</w:t>
      </w:r>
      <w:r>
        <w:rPr>
          <w:rFonts w:hint="eastAsia" w:ascii="宋体" w:hAnsi="宋体"/>
          <w:color w:val="auto"/>
          <w:sz w:val="24"/>
          <w:szCs w:val="24"/>
          <w:highlight w:val="none"/>
        </w:rPr>
        <w:t>规劝、制止，并报告采购人。</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、裙楼一层礼堂及主楼八、九、十一层会议室的日常管理、设备、设施维护、卫生保洁以及会务工作，包括会场布置、茶水供应、音响调试等。</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、裙楼三层的篮球场、羽毛球场、四层的乒乓球室的日常管理、设备维护、卫生保洁</w:t>
      </w:r>
      <w:r>
        <w:rPr>
          <w:rFonts w:hint="eastAsia" w:ascii="宋体" w:hAnsi="宋体"/>
          <w:color w:val="auto"/>
          <w:sz w:val="24"/>
          <w:szCs w:val="24"/>
          <w:highlight w:val="none"/>
          <w:lang w:eastAsia="zh-CN"/>
        </w:rPr>
        <w:t>，</w:t>
      </w:r>
      <w:r>
        <w:rPr>
          <w:rStyle w:val="19"/>
          <w:rFonts w:hint="eastAsia" w:ascii="宋体" w:eastAsia="宋体" w:cs="宋体"/>
          <w:color w:val="auto"/>
          <w:sz w:val="24"/>
          <w:szCs w:val="24"/>
          <w:highlight w:val="none"/>
          <w:lang w:eastAsia="zh-CN"/>
        </w:rPr>
        <w:t>运动场所开放时间周一至周日，</w:t>
      </w:r>
      <w:r>
        <w:rPr>
          <w:rStyle w:val="19"/>
          <w:rFonts w:hint="eastAsia" w:ascii="宋体" w:eastAsia="宋体" w:cs="宋体"/>
          <w:color w:val="auto"/>
          <w:sz w:val="24"/>
          <w:szCs w:val="24"/>
          <w:highlight w:val="none"/>
        </w:rPr>
        <w:t>场地开放期间</w:t>
      </w:r>
      <w:r>
        <w:rPr>
          <w:rStyle w:val="19"/>
          <w:rFonts w:hint="eastAsia" w:ascii="宋体" w:eastAsia="宋体" w:cs="宋体"/>
          <w:color w:val="auto"/>
          <w:sz w:val="24"/>
          <w:szCs w:val="24"/>
          <w:highlight w:val="none"/>
          <w:lang w:eastAsia="zh-CN"/>
        </w:rPr>
        <w:t>负责做好接待、场所管理及安全防护等工作</w:t>
      </w:r>
      <w:r>
        <w:rPr>
          <w:rFonts w:hint="eastAsia" w:ascii="宋体" w:hAnsi="宋体"/>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、中心大楼水、电等耗损资源的节能工作。</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、配合业主与物业使用人做好保密工作。</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18</w:t>
      </w:r>
      <w:r>
        <w:rPr>
          <w:rFonts w:hint="eastAsia" w:ascii="宋体" w:hAnsi="宋体"/>
          <w:color w:val="auto"/>
          <w:sz w:val="24"/>
          <w:szCs w:val="24"/>
          <w:highlight w:val="none"/>
        </w:rPr>
        <w:t>、中心大楼各办公场所设施、设备搬运服务。</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19</w:t>
      </w:r>
      <w:r>
        <w:rPr>
          <w:rFonts w:hint="eastAsia" w:ascii="宋体" w:hAnsi="宋体"/>
          <w:color w:val="auto"/>
          <w:sz w:val="24"/>
          <w:szCs w:val="24"/>
          <w:highlight w:val="none"/>
        </w:rPr>
        <w:t>、主楼西侧一至十一层洋中街道及洋中派出所办公楼外围场所的安保、保洁工作，办公楼内部由洋中街道及洋中派出所自行管理。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highlight w:val="none"/>
          <w:lang w:val="en-US" w:eastAsia="zh-CN"/>
        </w:rPr>
      </w:pPr>
      <w:r>
        <w:rPr>
          <w:rFonts w:hint="eastAsia" w:ascii="宋体" w:hAnsi="宋体"/>
          <w:color w:val="auto"/>
          <w:sz w:val="24"/>
          <w:szCs w:val="24"/>
          <w:highlight w:val="none"/>
          <w:lang w:val="en-US" w:eastAsia="zh-CN"/>
        </w:rPr>
        <w:t>20、</w:t>
      </w:r>
      <w:r>
        <w:rPr>
          <w:rFonts w:hint="eastAsia" w:ascii="宋体" w:hAnsi="宋体" w:eastAsia="宋体" w:cs="Times New Roman"/>
          <w:color w:val="auto"/>
          <w:sz w:val="24"/>
          <w:szCs w:val="24"/>
          <w:highlight w:val="none"/>
          <w:lang w:val="en-US" w:eastAsia="zh-CN"/>
        </w:rPr>
        <w:t>对2000元以内的设备设施维修（如遇小型范围破土的维修需由物业组织施工），楼梯、走道、扶手、天花板、吊顶、墙体、门窗、灯具、开关、卫生间的等维修需自行维修。（第三方维保的除外，材料费由采购人支付，人工费由中标人负责）</w:t>
      </w:r>
    </w:p>
    <w:p>
      <w:pPr>
        <w:pStyle w:val="2"/>
        <w:rPr>
          <w:rFonts w:hint="eastAsia"/>
          <w:color w:val="auto"/>
          <w:highlight w:val="none"/>
          <w:lang w:val="en-US" w:eastAsia="zh-CN"/>
        </w:rPr>
      </w:pPr>
    </w:p>
    <w:p>
      <w:pPr>
        <w:pageBreakBefore w:val="0"/>
        <w:kinsoku/>
        <w:wordWrap/>
        <w:overflowPunct/>
        <w:topLinePunct w:val="0"/>
        <w:autoSpaceDE/>
        <w:autoSpaceDN/>
        <w:bidi w:val="0"/>
        <w:adjustRightInd/>
        <w:snapToGrid/>
        <w:spacing w:line="440" w:lineRule="exact"/>
        <w:ind w:right="0" w:rightChars="0"/>
        <w:textAlignment w:val="auto"/>
        <w:rPr>
          <w:rFonts w:hint="default"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（二）文化活动中心物业管理人员配备</w:t>
      </w:r>
    </w:p>
    <w:tbl>
      <w:tblPr>
        <w:tblStyle w:val="15"/>
        <w:tblW w:w="8312" w:type="dxa"/>
        <w:tblInd w:w="93" w:type="dxa"/>
        <w:shd w:val="clear" w:color="auto" w:fill="auto"/>
        <w:tblLayout w:type="fixed"/>
        <w:tblCellMar>
          <w:top w:w="0" w:type="dxa"/>
          <w:left w:w="108" w:type="dxa"/>
          <w:bottom w:w="0" w:type="dxa"/>
          <w:right w:w="108" w:type="dxa"/>
        </w:tblCellMar>
      </w:tblPr>
      <w:tblGrid>
        <w:gridCol w:w="676"/>
        <w:gridCol w:w="1282"/>
        <w:gridCol w:w="763"/>
        <w:gridCol w:w="1449"/>
        <w:gridCol w:w="1305"/>
        <w:gridCol w:w="2837"/>
      </w:tblGrid>
      <w:tr>
        <w:tblPrEx>
          <w:shd w:val="clear" w:color="auto" w:fill="auto"/>
          <w:tblCellMar>
            <w:top w:w="0" w:type="dxa"/>
            <w:left w:w="108" w:type="dxa"/>
            <w:bottom w:w="0" w:type="dxa"/>
            <w:right w:w="108" w:type="dxa"/>
          </w:tblCellMar>
        </w:tblPrEx>
        <w:trPr>
          <w:trHeight w:val="820" w:hRule="atLeast"/>
        </w:trPr>
        <w:tc>
          <w:tcPr>
            <w:tcW w:w="831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highlight w:val="none"/>
                <w:u w:val="none"/>
              </w:rPr>
            </w:pPr>
            <w:r>
              <w:rPr>
                <w:rFonts w:hint="eastAsia" w:ascii="宋体" w:hAnsi="宋体" w:eastAsia="宋体" w:cs="宋体"/>
                <w:i w:val="0"/>
                <w:iCs w:val="0"/>
                <w:color w:val="auto"/>
                <w:kern w:val="0"/>
                <w:sz w:val="32"/>
                <w:szCs w:val="32"/>
                <w:highlight w:val="none"/>
                <w:u w:val="none"/>
                <w:lang w:val="en-US" w:eastAsia="zh-CN" w:bidi="ar"/>
              </w:rPr>
              <w:t>文化活动中心物业管理人员配备</w:t>
            </w:r>
          </w:p>
        </w:tc>
      </w:tr>
      <w:tr>
        <w:tblPrEx>
          <w:shd w:val="clear" w:color="auto" w:fill="auto"/>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序号</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职务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定编</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年龄要求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配置说明</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素质要求</w:t>
            </w:r>
          </w:p>
        </w:tc>
      </w:tr>
      <w:tr>
        <w:tblPrEx>
          <w:shd w:val="clear" w:color="auto" w:fill="auto"/>
          <w:tblCellMar>
            <w:top w:w="0" w:type="dxa"/>
            <w:left w:w="108" w:type="dxa"/>
            <w:bottom w:w="0" w:type="dxa"/>
            <w:right w:w="108" w:type="dxa"/>
          </w:tblCellMar>
        </w:tblPrEx>
        <w:trPr>
          <w:trHeight w:val="5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物业主任</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按劳动法规定的年龄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Style w:val="21"/>
                <w:color w:val="auto"/>
                <w:highlight w:val="none"/>
                <w:lang w:val="en-US" w:eastAsia="zh-CN" w:bidi="ar"/>
              </w:rPr>
              <w:t>1、</w:t>
            </w:r>
            <w:r>
              <w:rPr>
                <w:rStyle w:val="22"/>
                <w:color w:val="auto"/>
                <w:highlight w:val="none"/>
                <w:lang w:val="en-US" w:eastAsia="zh-CN" w:bidi="ar"/>
              </w:rPr>
              <w:t>本科及</w:t>
            </w:r>
            <w:r>
              <w:rPr>
                <w:rStyle w:val="21"/>
                <w:color w:val="auto"/>
                <w:highlight w:val="none"/>
                <w:lang w:val="en-US" w:eastAsia="zh-CN" w:bidi="ar"/>
              </w:rPr>
              <w:t>以上学历</w:t>
            </w:r>
            <w:r>
              <w:rPr>
                <w:rStyle w:val="21"/>
                <w:color w:val="auto"/>
                <w:highlight w:val="none"/>
                <w:lang w:val="en-US" w:eastAsia="zh-CN" w:bidi="ar"/>
              </w:rPr>
              <w:br w:type="textWrapping"/>
            </w:r>
            <w:r>
              <w:rPr>
                <w:rStyle w:val="21"/>
                <w:color w:val="auto"/>
                <w:highlight w:val="none"/>
                <w:lang w:val="en-US" w:eastAsia="zh-CN" w:bidi="ar"/>
              </w:rPr>
              <w:t>2、5年以上相关职务管理经验</w:t>
            </w:r>
          </w:p>
        </w:tc>
      </w:tr>
      <w:tr>
        <w:tblPrEx>
          <w:shd w:val="clear" w:color="auto" w:fill="auto"/>
          <w:tblCellMar>
            <w:top w:w="0" w:type="dxa"/>
            <w:left w:w="108" w:type="dxa"/>
            <w:bottom w:w="0" w:type="dxa"/>
            <w:right w:w="108" w:type="dxa"/>
          </w:tblCellMar>
        </w:tblPrEx>
        <w:trPr>
          <w:trHeight w:val="8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会务主管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Style w:val="21"/>
                <w:color w:val="auto"/>
                <w:highlight w:val="none"/>
                <w:lang w:val="en-US" w:eastAsia="zh-CN" w:bidi="ar"/>
              </w:rPr>
              <w:t>1</w:t>
            </w:r>
            <w:r>
              <w:rPr>
                <w:rStyle w:val="22"/>
                <w:color w:val="auto"/>
                <w:highlight w:val="none"/>
                <w:lang w:val="en-US" w:eastAsia="zh-CN" w:bidi="ar"/>
              </w:rPr>
              <w:t>、大专及以上学历</w:t>
            </w:r>
            <w:r>
              <w:rPr>
                <w:rStyle w:val="21"/>
                <w:color w:val="auto"/>
                <w:highlight w:val="none"/>
                <w:lang w:val="en-US" w:eastAsia="zh-CN" w:bidi="ar"/>
              </w:rPr>
              <w:br w:type="textWrapping"/>
            </w:r>
            <w:r>
              <w:rPr>
                <w:rStyle w:val="21"/>
                <w:color w:val="auto"/>
                <w:highlight w:val="none"/>
                <w:lang w:val="en-US" w:eastAsia="zh-CN" w:bidi="ar"/>
              </w:rPr>
              <w:t>2、3年以</w:t>
            </w:r>
            <w:r>
              <w:rPr>
                <w:rStyle w:val="21"/>
                <w:rFonts w:hint="eastAsia" w:eastAsia="宋体"/>
                <w:color w:val="auto"/>
                <w:highlight w:val="none"/>
                <w:lang w:val="en-US" w:eastAsia="zh-CN" w:bidi="ar"/>
              </w:rPr>
              <w:t>上会务</w:t>
            </w:r>
            <w:r>
              <w:rPr>
                <w:rStyle w:val="21"/>
                <w:color w:val="auto"/>
                <w:highlight w:val="none"/>
                <w:lang w:val="en-US" w:eastAsia="zh-CN" w:bidi="ar"/>
              </w:rPr>
              <w:t>管理工作经验</w:t>
            </w:r>
            <w:r>
              <w:rPr>
                <w:rStyle w:val="21"/>
                <w:color w:val="auto"/>
                <w:highlight w:val="none"/>
                <w:lang w:val="en-US" w:eastAsia="zh-CN" w:bidi="ar"/>
              </w:rPr>
              <w:br w:type="textWrapping"/>
            </w:r>
            <w:r>
              <w:rPr>
                <w:rStyle w:val="21"/>
                <w:color w:val="auto"/>
                <w:highlight w:val="none"/>
                <w:lang w:val="en-US" w:eastAsia="zh-CN" w:bidi="ar"/>
              </w:rPr>
              <w:t>3、兼会务工作</w:t>
            </w:r>
          </w:p>
        </w:tc>
      </w:tr>
      <w:tr>
        <w:tblPrEx>
          <w:shd w:val="clear" w:color="auto" w:fill="auto"/>
          <w:tblCellMar>
            <w:top w:w="0" w:type="dxa"/>
            <w:left w:w="108" w:type="dxa"/>
            <w:bottom w:w="0" w:type="dxa"/>
            <w:right w:w="108" w:type="dxa"/>
          </w:tblCellMar>
        </w:tblPrEx>
        <w:trPr>
          <w:trHeight w:val="8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安防队长</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Style w:val="21"/>
                <w:color w:val="auto"/>
                <w:highlight w:val="none"/>
                <w:lang w:val="en-US" w:eastAsia="zh-CN" w:bidi="ar"/>
              </w:rPr>
              <w:t>1、</w:t>
            </w:r>
            <w:r>
              <w:rPr>
                <w:rStyle w:val="22"/>
                <w:color w:val="auto"/>
                <w:highlight w:val="none"/>
                <w:lang w:val="en-US" w:eastAsia="zh-CN" w:bidi="ar"/>
              </w:rPr>
              <w:t>大专及以上学历</w:t>
            </w:r>
            <w:r>
              <w:rPr>
                <w:rStyle w:val="21"/>
                <w:color w:val="auto"/>
                <w:highlight w:val="none"/>
                <w:lang w:val="en-US" w:eastAsia="zh-CN" w:bidi="ar"/>
              </w:rPr>
              <w:br w:type="textWrapping"/>
            </w:r>
            <w:r>
              <w:rPr>
                <w:rStyle w:val="21"/>
                <w:color w:val="auto"/>
                <w:highlight w:val="none"/>
                <w:lang w:val="en-US" w:eastAsia="zh-CN" w:bidi="ar"/>
              </w:rPr>
              <w:t>2、3年以上物业安防工作经验</w:t>
            </w:r>
            <w:r>
              <w:rPr>
                <w:rStyle w:val="21"/>
                <w:color w:val="auto"/>
                <w:highlight w:val="none"/>
                <w:lang w:val="en-US" w:eastAsia="zh-CN" w:bidi="ar"/>
              </w:rPr>
              <w:br w:type="textWrapping"/>
            </w:r>
            <w:r>
              <w:rPr>
                <w:rStyle w:val="21"/>
                <w:color w:val="auto"/>
                <w:highlight w:val="none"/>
                <w:lang w:val="en-US" w:eastAsia="zh-CN" w:bidi="ar"/>
              </w:rPr>
              <w:t>3、退伍军人优先</w:t>
            </w:r>
          </w:p>
        </w:tc>
      </w:tr>
      <w:tr>
        <w:tblPrEx>
          <w:shd w:val="clear" w:color="auto" w:fill="auto"/>
          <w:tblCellMar>
            <w:top w:w="0" w:type="dxa"/>
            <w:left w:w="108" w:type="dxa"/>
            <w:bottom w:w="0" w:type="dxa"/>
            <w:right w:w="108" w:type="dxa"/>
          </w:tblCellMar>
        </w:tblPrEx>
        <w:trPr>
          <w:trHeight w:val="8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门口标兵岗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1、高中以上学历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2、退伍军人优先                         3、身高170cm-175cm，面貌端正。</w:t>
            </w:r>
          </w:p>
        </w:tc>
      </w:tr>
      <w:tr>
        <w:tblPrEx>
          <w:shd w:val="clear" w:color="auto" w:fill="auto"/>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大门岗安防员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三岗三班倒</w:t>
            </w:r>
          </w:p>
        </w:tc>
        <w:tc>
          <w:tcPr>
            <w:tcW w:w="2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1、具有保安上岗证或退伍证；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2、身体健康；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3、大门岗安防员5名身高170cm-175cm，面貌端正。（退伍军人优先）</w:t>
            </w:r>
          </w:p>
        </w:tc>
      </w:tr>
      <w:tr>
        <w:tblPrEx>
          <w:shd w:val="clear" w:color="auto" w:fill="auto"/>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巡逻岗安防员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一岗三班倒</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shd w:val="clear" w:color="auto" w:fill="auto"/>
          <w:tblCellMar>
            <w:top w:w="0" w:type="dxa"/>
            <w:left w:w="108" w:type="dxa"/>
            <w:bottom w:w="0" w:type="dxa"/>
            <w:right w:w="108" w:type="dxa"/>
          </w:tblCellMar>
        </w:tblPrEx>
        <w:trPr>
          <w:trHeight w:val="7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青少年活动中心、三及四层多媒体教室安防员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白班</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shd w:val="clear" w:color="auto" w:fill="auto"/>
          <w:tblCellMar>
            <w:top w:w="0" w:type="dxa"/>
            <w:left w:w="108" w:type="dxa"/>
            <w:bottom w:w="0" w:type="dxa"/>
            <w:right w:w="108" w:type="dxa"/>
          </w:tblCellMar>
        </w:tblPrEx>
        <w:trPr>
          <w:trHeight w:val="5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重点楼层安防员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白班</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shd w:val="clear" w:color="auto" w:fill="auto"/>
          <w:tblCellMar>
            <w:top w:w="0" w:type="dxa"/>
            <w:left w:w="108" w:type="dxa"/>
            <w:bottom w:w="0" w:type="dxa"/>
            <w:right w:w="108" w:type="dxa"/>
          </w:tblCellMar>
        </w:tblPrEx>
        <w:trPr>
          <w:trHeight w:val="5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地下车库车管员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早中班</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shd w:val="clear" w:color="auto" w:fill="auto"/>
          <w:tblCellMar>
            <w:top w:w="0" w:type="dxa"/>
            <w:left w:w="108" w:type="dxa"/>
            <w:bottom w:w="0" w:type="dxa"/>
            <w:right w:w="108" w:type="dxa"/>
          </w:tblCellMar>
        </w:tblPrEx>
        <w:trPr>
          <w:trHeight w:val="9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消防监控员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三班倒</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1、高中以上学历；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2、2年以上相关工作经验；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3、持消防监控上岗证。</w:t>
            </w:r>
          </w:p>
        </w:tc>
      </w:tr>
      <w:tr>
        <w:tblPrEx>
          <w:shd w:val="clear" w:color="auto" w:fill="auto"/>
          <w:tblCellMar>
            <w:top w:w="0" w:type="dxa"/>
            <w:left w:w="108" w:type="dxa"/>
            <w:bottom w:w="0" w:type="dxa"/>
            <w:right w:w="108" w:type="dxa"/>
          </w:tblCellMar>
        </w:tblPrEx>
        <w:trPr>
          <w:trHeight w:val="5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会务接待人员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1、高中以上学历，会电脑操作；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2、身高160cm-165cm，形象好，服务意识强。</w:t>
            </w:r>
          </w:p>
        </w:tc>
      </w:tr>
      <w:tr>
        <w:tblPrEx>
          <w:shd w:val="clear" w:color="auto" w:fill="auto"/>
          <w:tblCellMar>
            <w:top w:w="0" w:type="dxa"/>
            <w:left w:w="108" w:type="dxa"/>
            <w:bottom w:w="0" w:type="dxa"/>
            <w:right w:w="108" w:type="dxa"/>
          </w:tblCellMar>
        </w:tblPrEx>
        <w:trPr>
          <w:trHeight w:val="4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保洁工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1、初中以上身体健康；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2、保洁至少一名男性</w:t>
            </w:r>
          </w:p>
        </w:tc>
      </w:tr>
      <w:tr>
        <w:tblPrEx>
          <w:shd w:val="clear" w:color="auto" w:fill="auto"/>
          <w:tblCellMar>
            <w:top w:w="0" w:type="dxa"/>
            <w:left w:w="108" w:type="dxa"/>
            <w:bottom w:w="0" w:type="dxa"/>
            <w:right w:w="108" w:type="dxa"/>
          </w:tblCellMar>
        </w:tblPrEx>
        <w:trPr>
          <w:trHeight w:val="4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绿化养护</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vMerge w:val="continue"/>
            <w:tcBorders>
              <w:top w:val="nil"/>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shd w:val="clear" w:color="auto" w:fill="auto"/>
          <w:tblCellMar>
            <w:top w:w="0" w:type="dxa"/>
            <w:left w:w="108" w:type="dxa"/>
            <w:bottom w:w="0" w:type="dxa"/>
            <w:right w:w="108" w:type="dxa"/>
          </w:tblCellMar>
        </w:tblPrEx>
        <w:trPr>
          <w:trHeight w:val="5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会务音响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1、3年以上音响工作经验，持有关业务上岗证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2、中专及以上学历，形象好</w:t>
            </w:r>
          </w:p>
        </w:tc>
      </w:tr>
      <w:tr>
        <w:tblPrEx>
          <w:shd w:val="clear" w:color="auto" w:fill="auto"/>
          <w:tblCellMar>
            <w:top w:w="0" w:type="dxa"/>
            <w:left w:w="108" w:type="dxa"/>
            <w:bottom w:w="0" w:type="dxa"/>
            <w:right w:w="108" w:type="dxa"/>
          </w:tblCellMar>
        </w:tblPrEx>
        <w:trPr>
          <w:trHeight w:val="9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电工</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按劳动法规定的年龄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24小时值班</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1、身体健康；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2、3年以上电工经验；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3、持电工证；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4、其中高压电工一名</w:t>
            </w:r>
          </w:p>
        </w:tc>
      </w:tr>
      <w:tr>
        <w:tblPrEx>
          <w:tblCellMar>
            <w:top w:w="0" w:type="dxa"/>
            <w:left w:w="108" w:type="dxa"/>
            <w:bottom w:w="0" w:type="dxa"/>
            <w:right w:w="108" w:type="dxa"/>
          </w:tblCellMar>
        </w:tblPrEx>
        <w:trPr>
          <w:trHeight w:val="480" w:hRule="atLeast"/>
        </w:trPr>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63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43人</w:t>
            </w:r>
          </w:p>
        </w:tc>
      </w:tr>
    </w:tbl>
    <w:p>
      <w:pPr>
        <w:pageBreakBefore w:val="0"/>
        <w:kinsoku/>
        <w:wordWrap/>
        <w:overflowPunct/>
        <w:topLinePunct w:val="0"/>
        <w:autoSpaceDE/>
        <w:autoSpaceDN/>
        <w:bidi w:val="0"/>
        <w:adjustRightInd/>
        <w:snapToGrid/>
        <w:spacing w:line="440" w:lineRule="exact"/>
        <w:ind w:right="0" w:rightChars="0"/>
        <w:textAlignment w:val="auto"/>
        <w:rPr>
          <w:color w:val="auto"/>
          <w:sz w:val="24"/>
          <w:szCs w:val="24"/>
          <w:highlight w:val="none"/>
        </w:rPr>
      </w:pPr>
    </w:p>
    <w:p>
      <w:pPr>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（三）物业管理量化考评办法</w:t>
      </w:r>
    </w:p>
    <w:p>
      <w:pPr>
        <w:snapToGrid w:val="0"/>
        <w:spacing w:line="360" w:lineRule="auto"/>
        <w:jc w:val="center"/>
        <w:rPr>
          <w:rFonts w:hint="eastAsia" w:ascii="宋体" w:hAnsi="宋体"/>
          <w:b/>
          <w:color w:val="auto"/>
          <w:sz w:val="32"/>
          <w:szCs w:val="32"/>
          <w:highlight w:val="none"/>
        </w:rPr>
      </w:pPr>
    </w:p>
    <w:p>
      <w:pPr>
        <w:snapToGrid w:val="0"/>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物业管理量化考评办法</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为了加强对区文化活动中心物业管理工作的监督，规范物业管理服务行为，提高服务质量。根据国家、省、市对物业管理有关法律法规规定和物业管理合同要求，结合区文化活动中心大楼的特点，制定本办法，量化考评中涉及的内容如在任一管理制度或合同中未细化体现的，量化考评内容将作为合同及相关管理制度的补充，视为同等的双方约定条款</w:t>
      </w:r>
      <w:r>
        <w:rPr>
          <w:rFonts w:hint="eastAsia" w:ascii="宋体" w:hAnsi="宋体"/>
          <w:b/>
          <w:color w:val="auto"/>
          <w:sz w:val="24"/>
          <w:szCs w:val="24"/>
          <w:highlight w:val="none"/>
        </w:rPr>
        <w:t>。</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（一）考核机构</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由区机关事务</w:t>
      </w:r>
      <w:r>
        <w:rPr>
          <w:rFonts w:hint="eastAsia" w:ascii="宋体" w:hAnsi="宋体"/>
          <w:color w:val="auto"/>
          <w:sz w:val="24"/>
          <w:szCs w:val="24"/>
          <w:highlight w:val="none"/>
          <w:lang w:eastAsia="zh-CN"/>
        </w:rPr>
        <w:t>服务</w:t>
      </w:r>
      <w:r>
        <w:rPr>
          <w:rFonts w:hint="eastAsia" w:ascii="宋体" w:hAnsi="宋体"/>
          <w:color w:val="auto"/>
          <w:sz w:val="24"/>
          <w:szCs w:val="24"/>
          <w:highlight w:val="none"/>
        </w:rPr>
        <w:t>中心工作人员组成考核小组。</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（二）考核办法</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1、本办法对物业公司的服务情况及服务质量进行评分，评出的分数与当月物业管理服务费挂钩。</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2、月综合考评以每月不定期抽查，检查情况主要依据《物业管理量化考评内容及评分标准》进行评分。次月月初根据评分情况测算</w:t>
      </w:r>
      <w:r>
        <w:rPr>
          <w:rFonts w:hint="eastAsia" w:ascii="宋体" w:hAnsi="宋体"/>
          <w:color w:val="auto"/>
          <w:sz w:val="24"/>
          <w:szCs w:val="24"/>
          <w:highlight w:val="none"/>
          <w:lang w:eastAsia="zh-CN"/>
        </w:rPr>
        <w:t>该月物业管理服务费</w:t>
      </w:r>
      <w:r>
        <w:rPr>
          <w:rFonts w:hint="eastAsia" w:ascii="宋体" w:hAnsi="宋体"/>
          <w:color w:val="auto"/>
          <w:sz w:val="24"/>
          <w:szCs w:val="24"/>
          <w:highlight w:val="none"/>
        </w:rPr>
        <w:t>（评分与奖金换算比例见该办法三奖惩措施）。</w:t>
      </w:r>
      <w:r>
        <w:rPr>
          <w:rFonts w:hint="eastAsia" w:ascii="宋体" w:hAnsi="宋体"/>
          <w:color w:val="auto"/>
          <w:sz w:val="24"/>
          <w:szCs w:val="24"/>
          <w:highlight w:val="none"/>
          <w:lang w:eastAsia="zh-CN"/>
        </w:rPr>
        <w:t>月综合得分</w:t>
      </w:r>
      <w:r>
        <w:rPr>
          <w:rFonts w:hint="eastAsia" w:ascii="宋体" w:hAnsi="宋体"/>
          <w:color w:val="auto"/>
          <w:sz w:val="24"/>
          <w:szCs w:val="24"/>
          <w:highlight w:val="none"/>
        </w:rPr>
        <w:t>计算方式：</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jc w:val="both"/>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月综合得分=</w:t>
      </w:r>
      <w:r>
        <w:rPr>
          <w:rFonts w:hint="eastAsia" w:ascii="宋体" w:hAnsi="宋体"/>
          <w:color w:val="auto"/>
          <w:sz w:val="24"/>
          <w:szCs w:val="24"/>
          <w:highlight w:val="none"/>
          <w:lang w:val="en-US" w:eastAsia="zh-CN"/>
        </w:rPr>
        <w:t>100-月抽查扣分总和</w:t>
      </w:r>
      <w:r>
        <w:rPr>
          <w:rFonts w:hint="eastAsia" w:ascii="宋体" w:hAnsi="宋体"/>
          <w:color w:val="auto"/>
          <w:sz w:val="24"/>
          <w:szCs w:val="24"/>
          <w:highlight w:val="none"/>
        </w:rPr>
        <w:t>。</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、机关中心届时将根据物业管理行业有关规定和惯例，并结合本物业管理服务项目实际情况制定《物业管理量化考评内容及评分标准》。</w:t>
      </w:r>
    </w:p>
    <w:p>
      <w:pPr>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（三）奖惩措施：</w:t>
      </w:r>
    </w:p>
    <w:p>
      <w:pPr>
        <w:snapToGrid w:val="0"/>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月度考评，与当月物业管理服务费挂钩</w:t>
      </w:r>
      <w:r>
        <w:rPr>
          <w:rFonts w:hint="eastAsia" w:ascii="宋体" w:hAnsi="宋体"/>
          <w:color w:val="auto"/>
          <w:sz w:val="24"/>
          <w:szCs w:val="24"/>
          <w:highlight w:val="none"/>
          <w:lang w:eastAsia="zh-CN"/>
        </w:rPr>
        <w:t>：</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①月综合得分达到</w:t>
      </w:r>
      <w:r>
        <w:rPr>
          <w:rFonts w:hint="eastAsia" w:ascii="宋体" w:hAnsi="宋体"/>
          <w:color w:val="auto"/>
          <w:sz w:val="24"/>
          <w:highlight w:val="none"/>
          <w:lang w:val="en-US" w:eastAsia="zh-CN"/>
        </w:rPr>
        <w:t>95</w:t>
      </w:r>
      <w:r>
        <w:rPr>
          <w:rFonts w:hint="eastAsia" w:ascii="宋体" w:hAnsi="宋体"/>
          <w:color w:val="auto"/>
          <w:sz w:val="24"/>
          <w:highlight w:val="none"/>
        </w:rPr>
        <w:t>分（含</w:t>
      </w:r>
      <w:r>
        <w:rPr>
          <w:rFonts w:hint="eastAsia" w:ascii="宋体" w:hAnsi="宋体"/>
          <w:color w:val="auto"/>
          <w:sz w:val="24"/>
          <w:highlight w:val="none"/>
          <w:lang w:val="en-US" w:eastAsia="zh-CN"/>
        </w:rPr>
        <w:t>95</w:t>
      </w:r>
      <w:r>
        <w:rPr>
          <w:rFonts w:hint="eastAsia" w:ascii="宋体" w:hAnsi="宋体"/>
          <w:color w:val="auto"/>
          <w:sz w:val="24"/>
          <w:highlight w:val="none"/>
        </w:rPr>
        <w:t>分）以上为不</w:t>
      </w:r>
      <w:r>
        <w:rPr>
          <w:rFonts w:hint="eastAsia" w:ascii="宋体" w:hAnsi="宋体"/>
          <w:color w:val="auto"/>
          <w:sz w:val="24"/>
          <w:highlight w:val="none"/>
          <w:lang w:eastAsia="zh-CN"/>
        </w:rPr>
        <w:t>扣减当月物业管理服务费</w:t>
      </w:r>
      <w:r>
        <w:rPr>
          <w:rFonts w:hint="eastAsia" w:ascii="宋体" w:hAnsi="宋体"/>
          <w:color w:val="auto"/>
          <w:sz w:val="24"/>
          <w:highlight w:val="none"/>
        </w:rPr>
        <w:t>，全额拨款；</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②</w:t>
      </w:r>
      <w:r>
        <w:rPr>
          <w:rFonts w:hint="eastAsia" w:ascii="宋体" w:hAnsi="宋体"/>
          <w:color w:val="auto"/>
          <w:sz w:val="24"/>
          <w:highlight w:val="none"/>
          <w:lang w:val="en-US" w:eastAsia="zh-CN"/>
        </w:rPr>
        <w:t>95</w:t>
      </w:r>
      <w:r>
        <w:rPr>
          <w:rFonts w:hint="eastAsia" w:ascii="宋体" w:hAnsi="宋体"/>
          <w:color w:val="auto"/>
          <w:sz w:val="24"/>
          <w:highlight w:val="none"/>
        </w:rPr>
        <w:t>分以下，扣减当月物业管理服务费，</w:t>
      </w:r>
      <w:r>
        <w:rPr>
          <w:rFonts w:hint="eastAsia" w:ascii="宋体" w:hAnsi="宋体"/>
          <w:color w:val="auto"/>
          <w:sz w:val="24"/>
          <w:highlight w:val="none"/>
          <w:lang w:eastAsia="zh-CN"/>
        </w:rPr>
        <w:t>低于</w:t>
      </w:r>
      <w:r>
        <w:rPr>
          <w:rFonts w:hint="eastAsia" w:ascii="宋体" w:hAnsi="宋体"/>
          <w:color w:val="auto"/>
          <w:sz w:val="24"/>
          <w:highlight w:val="none"/>
          <w:lang w:val="en-US" w:eastAsia="zh-CN"/>
        </w:rPr>
        <w:t>95分的部分，</w:t>
      </w:r>
      <w:r>
        <w:rPr>
          <w:rFonts w:hint="eastAsia" w:ascii="宋体" w:hAnsi="宋体"/>
          <w:color w:val="auto"/>
          <w:sz w:val="24"/>
          <w:highlight w:val="none"/>
        </w:rPr>
        <w:t>按每扣1分扣</w:t>
      </w:r>
      <w:r>
        <w:rPr>
          <w:rFonts w:hint="eastAsia" w:ascii="宋体" w:hAnsi="宋体"/>
          <w:color w:val="auto"/>
          <w:sz w:val="24"/>
          <w:highlight w:val="none"/>
          <w:lang w:val="en-US" w:eastAsia="zh-CN"/>
        </w:rPr>
        <w:t>1000</w:t>
      </w:r>
      <w:r>
        <w:rPr>
          <w:rFonts w:hint="eastAsia" w:ascii="宋体" w:hAnsi="宋体"/>
          <w:color w:val="auto"/>
          <w:sz w:val="24"/>
          <w:highlight w:val="none"/>
        </w:rPr>
        <w:t>元进行减扣（以100分为基数</w:t>
      </w:r>
      <w:r>
        <w:rPr>
          <w:rFonts w:hint="eastAsia" w:ascii="宋体" w:hAnsi="宋体"/>
          <w:color w:val="auto"/>
          <w:sz w:val="24"/>
          <w:highlight w:val="none"/>
          <w:lang w:eastAsia="zh-CN"/>
        </w:rPr>
        <w:t>，例如月综合得分为</w:t>
      </w:r>
      <w:r>
        <w:rPr>
          <w:rFonts w:hint="eastAsia" w:ascii="宋体" w:hAnsi="宋体"/>
          <w:color w:val="auto"/>
          <w:sz w:val="24"/>
          <w:highlight w:val="none"/>
          <w:lang w:val="en-US" w:eastAsia="zh-CN"/>
        </w:rPr>
        <w:t>92分，则该月物业管理服务费扣减3000元</w:t>
      </w:r>
      <w:r>
        <w:rPr>
          <w:rFonts w:hint="eastAsia" w:ascii="宋体" w:hAnsi="宋体"/>
          <w:color w:val="auto"/>
          <w:sz w:val="24"/>
          <w:highlight w:val="none"/>
        </w:rPr>
        <w:t>）。</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③当月物业管理服务费的10%全扣的不再测算该月综合得分。</w:t>
      </w:r>
    </w:p>
    <w:p>
      <w:pPr>
        <w:spacing w:line="480" w:lineRule="exact"/>
        <w:ind w:firstLine="480" w:firstLineChars="200"/>
        <w:rPr>
          <w:rFonts w:hint="eastAsia" w:ascii="宋体" w:hAnsi="宋体"/>
          <w:color w:val="auto"/>
          <w:sz w:val="24"/>
          <w:highlight w:val="none"/>
        </w:rPr>
      </w:pPr>
      <w:r>
        <w:rPr>
          <w:rFonts w:hint="eastAsia" w:ascii="宋体" w:hAnsi="宋体" w:eastAsia="宋体" w:cs="宋体"/>
          <w:i w:val="0"/>
          <w:iCs w:val="0"/>
          <w:caps w:val="0"/>
          <w:color w:val="auto"/>
          <w:spacing w:val="0"/>
          <w:sz w:val="24"/>
          <w:szCs w:val="24"/>
          <w:highlight w:val="none"/>
        </w:rPr>
        <w:t>④连续2次或累计4次</w:t>
      </w:r>
      <w:r>
        <w:rPr>
          <w:rFonts w:hint="eastAsia" w:ascii="宋体" w:hAnsi="宋体" w:cs="宋体"/>
          <w:i w:val="0"/>
          <w:iCs w:val="0"/>
          <w:caps w:val="0"/>
          <w:color w:val="auto"/>
          <w:spacing w:val="0"/>
          <w:sz w:val="24"/>
          <w:szCs w:val="24"/>
          <w:highlight w:val="none"/>
          <w:lang w:eastAsia="zh-CN"/>
        </w:rPr>
        <w:t>得分低于</w:t>
      </w:r>
      <w:r>
        <w:rPr>
          <w:rFonts w:hint="eastAsia" w:ascii="宋体" w:hAnsi="宋体" w:cs="宋体"/>
          <w:i w:val="0"/>
          <w:iCs w:val="0"/>
          <w:caps w:val="0"/>
          <w:color w:val="auto"/>
          <w:spacing w:val="0"/>
          <w:sz w:val="24"/>
          <w:szCs w:val="24"/>
          <w:highlight w:val="none"/>
          <w:lang w:val="en-US" w:eastAsia="zh-CN"/>
        </w:rPr>
        <w:t>80分</w:t>
      </w:r>
      <w:r>
        <w:rPr>
          <w:rFonts w:hint="eastAsia" w:ascii="宋体" w:hAnsi="宋体" w:eastAsia="宋体" w:cs="宋体"/>
          <w:i w:val="0"/>
          <w:iCs w:val="0"/>
          <w:caps w:val="0"/>
          <w:color w:val="auto"/>
          <w:spacing w:val="0"/>
          <w:sz w:val="24"/>
          <w:szCs w:val="24"/>
          <w:highlight w:val="none"/>
        </w:rPr>
        <w:t>的终止合同，并扣除履约保证金。</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eastAsia="zh-CN"/>
        </w:rPr>
        <w:t>四</w:t>
      </w:r>
      <w:r>
        <w:rPr>
          <w:rFonts w:hint="eastAsia" w:ascii="宋体" w:hAnsi="宋体"/>
          <w:color w:val="auto"/>
          <w:sz w:val="24"/>
          <w:szCs w:val="24"/>
          <w:highlight w:val="none"/>
        </w:rPr>
        <w:t>）考核结果双方签字确认，物业管理公司对于考核结果和需整改项目有申诉和解释权，经考核人员确认属实，对考核结果可予以调整。确有争议的，如有证据的以证据为准，如果无法在证据中体现的，物业公司需无条件接受。</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eastAsia="zh-CN"/>
        </w:rPr>
        <w:t>五</w:t>
      </w:r>
      <w:r>
        <w:rPr>
          <w:rFonts w:hint="eastAsia" w:ascii="宋体" w:hAnsi="宋体"/>
          <w:color w:val="auto"/>
          <w:sz w:val="24"/>
          <w:szCs w:val="24"/>
          <w:highlight w:val="none"/>
        </w:rPr>
        <w:t>）扣罚奖金其他项目：</w:t>
      </w:r>
    </w:p>
    <w:p>
      <w:pPr>
        <w:numPr>
          <w:ilvl w:val="0"/>
          <w:numId w:val="8"/>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物业公司的人员（</w:t>
      </w:r>
      <w:r>
        <w:rPr>
          <w:rFonts w:hint="eastAsia" w:ascii="宋体" w:hAnsi="宋体" w:cs="宋体"/>
          <w:color w:val="auto"/>
          <w:sz w:val="24"/>
          <w:highlight w:val="none"/>
          <w:lang w:eastAsia="zh-CN"/>
        </w:rPr>
        <w:t>保安、</w:t>
      </w:r>
      <w:r>
        <w:rPr>
          <w:rFonts w:hint="eastAsia" w:ascii="宋体" w:hAnsi="宋体" w:cs="宋体"/>
          <w:color w:val="auto"/>
          <w:sz w:val="24"/>
          <w:highlight w:val="none"/>
        </w:rPr>
        <w:t>音响、电工、消监控</w:t>
      </w:r>
      <w:r>
        <w:rPr>
          <w:rFonts w:hint="eastAsia" w:ascii="宋体" w:hAnsi="宋体" w:cs="宋体"/>
          <w:color w:val="auto"/>
          <w:sz w:val="24"/>
          <w:highlight w:val="none"/>
          <w:lang w:eastAsia="zh-CN"/>
        </w:rPr>
        <w:t>等</w:t>
      </w:r>
      <w:r>
        <w:rPr>
          <w:rFonts w:hint="eastAsia" w:ascii="宋体" w:hAnsi="宋体" w:cs="宋体"/>
          <w:color w:val="auto"/>
          <w:sz w:val="24"/>
          <w:highlight w:val="none"/>
        </w:rPr>
        <w:t>）需持证上岗，如每发现一人次无上岗证书每人次扣1000元，限期整改，一</w:t>
      </w:r>
      <w:r>
        <w:rPr>
          <w:rFonts w:hint="eastAsia" w:ascii="宋体" w:hAnsi="宋体" w:cs="宋体"/>
          <w:color w:val="auto"/>
          <w:sz w:val="24"/>
          <w:highlight w:val="none"/>
          <w:lang w:eastAsia="zh-CN"/>
        </w:rPr>
        <w:t>周</w:t>
      </w:r>
      <w:r>
        <w:rPr>
          <w:rFonts w:hint="eastAsia" w:ascii="宋体" w:hAnsi="宋体" w:cs="宋体"/>
          <w:color w:val="auto"/>
          <w:sz w:val="24"/>
          <w:highlight w:val="none"/>
        </w:rPr>
        <w:t>内必须整改到位，否则扣罚当月物业管理服务费的10%；乙方如需更换管理主任的，需经书面报告甲方，并经甲方签字同意后方可更换，未经同意更换主任的扣罚当月物业管理服务费的10%；对物业主任自身提出辞职的，乙方需在一个月前书面告知甲方并交由甲方备案，否则扣罚当月物业管理服务费的10%。</w:t>
      </w:r>
    </w:p>
    <w:p>
      <w:pPr>
        <w:numPr>
          <w:ilvl w:val="0"/>
          <w:numId w:val="8"/>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因未认真执行巡逻制度以致未及时发现问题，造成不合理用水用电的，</w:t>
      </w:r>
      <w:r>
        <w:rPr>
          <w:rFonts w:hint="eastAsia" w:ascii="宋体" w:hAnsi="宋体" w:cs="宋体"/>
          <w:color w:val="auto"/>
          <w:sz w:val="24"/>
          <w:highlight w:val="none"/>
          <w:lang w:eastAsia="zh-CN"/>
        </w:rPr>
        <w:t>当月水费或电费由物业公司承担，并按当月水费或电费的</w:t>
      </w:r>
      <w:r>
        <w:rPr>
          <w:rFonts w:hint="eastAsia" w:ascii="宋体" w:hAnsi="宋体" w:cs="宋体"/>
          <w:color w:val="auto"/>
          <w:sz w:val="24"/>
          <w:highlight w:val="none"/>
          <w:lang w:val="en-US" w:eastAsia="zh-CN"/>
        </w:rPr>
        <w:t>30%扣减当月物业管理服务费。</w:t>
      </w:r>
    </w:p>
    <w:p>
      <w:pPr>
        <w:numPr>
          <w:ilvl w:val="0"/>
          <w:numId w:val="8"/>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确保活动中心大楼全年内不发生一起刑事、治安案件，如发生一起属物业没有履行职责或没有完全履行职责，查实后扣除当月物业管理服务费的10%</w:t>
      </w:r>
      <w:r>
        <w:rPr>
          <w:rFonts w:hint="eastAsia" w:ascii="宋体" w:hAnsi="宋体" w:cs="宋体"/>
          <w:color w:val="auto"/>
          <w:sz w:val="24"/>
          <w:highlight w:val="none"/>
          <w:lang w:eastAsia="zh-CN"/>
        </w:rPr>
        <w:t>并承担相应的法律责任及经济损失</w:t>
      </w:r>
      <w:r>
        <w:rPr>
          <w:rFonts w:hint="eastAsia" w:ascii="宋体" w:hAnsi="宋体" w:cs="宋体"/>
          <w:color w:val="auto"/>
          <w:sz w:val="24"/>
          <w:highlight w:val="none"/>
        </w:rPr>
        <w:t>。</w:t>
      </w:r>
    </w:p>
    <w:p>
      <w:pPr>
        <w:numPr>
          <w:ilvl w:val="0"/>
          <w:numId w:val="8"/>
        </w:numPr>
        <w:spacing w:line="360" w:lineRule="auto"/>
        <w:rPr>
          <w:rFonts w:hint="eastAsia" w:ascii="宋体" w:hAnsi="宋体" w:cs="宋体"/>
          <w:color w:val="auto"/>
          <w:sz w:val="24"/>
          <w:highlight w:val="none"/>
        </w:rPr>
      </w:pPr>
      <w:r>
        <w:rPr>
          <w:rFonts w:hint="eastAsia" w:ascii="宋体" w:hAnsi="宋体"/>
          <w:color w:val="auto"/>
          <w:sz w:val="24"/>
          <w:highlight w:val="none"/>
          <w:lang w:eastAsia="zh-CN"/>
        </w:rPr>
        <w:t>确保文化活动中心</w:t>
      </w:r>
      <w:r>
        <w:rPr>
          <w:rFonts w:hint="eastAsia" w:ascii="宋体" w:hAnsi="宋体"/>
          <w:color w:val="auto"/>
          <w:sz w:val="24"/>
          <w:highlight w:val="none"/>
        </w:rPr>
        <w:t>不发生偷盗事件</w:t>
      </w:r>
      <w:r>
        <w:rPr>
          <w:rFonts w:hint="eastAsia" w:ascii="宋体" w:hAnsi="宋体" w:cs="宋体"/>
          <w:color w:val="auto"/>
          <w:sz w:val="24"/>
          <w:highlight w:val="none"/>
        </w:rPr>
        <w:t>。</w:t>
      </w:r>
      <w:r>
        <w:rPr>
          <w:rFonts w:hint="eastAsia" w:ascii="宋体" w:hAnsi="宋体"/>
          <w:color w:val="auto"/>
          <w:sz w:val="24"/>
          <w:highlight w:val="none"/>
        </w:rPr>
        <w:t>如发生一起，</w:t>
      </w:r>
      <w:r>
        <w:rPr>
          <w:rFonts w:hint="eastAsia" w:ascii="宋体" w:hAnsi="宋体"/>
          <w:color w:val="auto"/>
          <w:sz w:val="24"/>
          <w:highlight w:val="none"/>
          <w:lang w:eastAsia="zh-CN"/>
        </w:rPr>
        <w:t>除赔偿当事人损失外，还应</w:t>
      </w:r>
      <w:r>
        <w:rPr>
          <w:rFonts w:hint="eastAsia" w:ascii="宋体" w:hAnsi="宋体"/>
          <w:color w:val="auto"/>
          <w:sz w:val="24"/>
          <w:highlight w:val="none"/>
        </w:rPr>
        <w:t>扣除当月物业管理服务费</w:t>
      </w:r>
      <w:r>
        <w:rPr>
          <w:rFonts w:hint="eastAsia" w:ascii="宋体" w:hAnsi="宋体"/>
          <w:color w:val="auto"/>
          <w:sz w:val="24"/>
          <w:highlight w:val="none"/>
          <w:lang w:val="en-US" w:eastAsia="zh-CN"/>
        </w:rPr>
        <w:t>的10%</w:t>
      </w:r>
      <w:r>
        <w:rPr>
          <w:rFonts w:hint="eastAsia" w:ascii="宋体" w:hAnsi="宋体" w:cs="宋体"/>
          <w:color w:val="auto"/>
          <w:sz w:val="24"/>
          <w:highlight w:val="none"/>
          <w:lang w:eastAsia="zh-CN"/>
        </w:rPr>
        <w:t>并承担相应的法律责任及经济损失</w:t>
      </w:r>
      <w:r>
        <w:rPr>
          <w:rFonts w:hint="eastAsia" w:ascii="宋体" w:hAnsi="宋体" w:cs="宋体"/>
          <w:color w:val="auto"/>
          <w:sz w:val="24"/>
          <w:highlight w:val="none"/>
        </w:rPr>
        <w:t>。</w:t>
      </w:r>
    </w:p>
    <w:p>
      <w:pPr>
        <w:numPr>
          <w:ilvl w:val="0"/>
          <w:numId w:val="8"/>
        </w:numPr>
        <w:spacing w:line="360" w:lineRule="auto"/>
        <w:rPr>
          <w:rFonts w:hint="eastAsia" w:ascii="宋体" w:hAnsi="宋体"/>
          <w:color w:val="auto"/>
          <w:sz w:val="24"/>
          <w:szCs w:val="24"/>
          <w:highlight w:val="none"/>
        </w:rPr>
      </w:pPr>
      <w:r>
        <w:rPr>
          <w:rFonts w:hint="eastAsia" w:ascii="宋体" w:hAnsi="宋体" w:cs="宋体"/>
          <w:color w:val="auto"/>
          <w:sz w:val="24"/>
          <w:highlight w:val="none"/>
        </w:rPr>
        <w:t>确保无重大安全事故发生，如因巡查、设施设备监管不到位等乙方原因出现重大责任事故，</w:t>
      </w:r>
      <w:r>
        <w:rPr>
          <w:rFonts w:hint="eastAsia" w:ascii="宋体" w:hAnsi="宋体" w:cs="宋体"/>
          <w:color w:val="auto"/>
          <w:sz w:val="24"/>
          <w:highlight w:val="none"/>
          <w:lang w:eastAsia="zh-CN"/>
        </w:rPr>
        <w:t>除承担相应的法律责任及经济损失外，并</w:t>
      </w:r>
      <w:r>
        <w:rPr>
          <w:rFonts w:hint="eastAsia" w:ascii="宋体" w:hAnsi="宋体" w:cs="宋体"/>
          <w:color w:val="auto"/>
          <w:sz w:val="24"/>
          <w:highlight w:val="none"/>
        </w:rPr>
        <w:t>扣除当月物业管理服务费的10%。</w:t>
      </w:r>
    </w:p>
    <w:p>
      <w:pPr>
        <w:numPr>
          <w:ilvl w:val="0"/>
          <w:numId w:val="8"/>
        </w:numPr>
        <w:spacing w:line="360" w:lineRule="auto"/>
        <w:rPr>
          <w:rFonts w:hint="eastAsia" w:ascii="宋体" w:hAnsi="宋体"/>
          <w:color w:val="auto"/>
          <w:sz w:val="24"/>
          <w:highlight w:val="none"/>
        </w:rPr>
      </w:pPr>
      <w:r>
        <w:rPr>
          <w:rFonts w:hint="eastAsia" w:ascii="宋体" w:hAnsi="宋体" w:cs="宋体"/>
          <w:color w:val="auto"/>
          <w:sz w:val="24"/>
          <w:highlight w:val="none"/>
        </w:rPr>
        <w:t>因物业公司管理不善不到位的，造成损失的，所需相关费用由物业公司</w:t>
      </w:r>
      <w:r>
        <w:rPr>
          <w:rFonts w:hint="eastAsia" w:ascii="宋体" w:hAnsi="宋体" w:cs="宋体"/>
          <w:color w:val="auto"/>
          <w:sz w:val="24"/>
          <w:highlight w:val="none"/>
          <w:lang w:eastAsia="zh-CN"/>
        </w:rPr>
        <w:t>承担。</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eastAsia="zh-CN"/>
        </w:rPr>
        <w:t>六</w:t>
      </w:r>
      <w:r>
        <w:rPr>
          <w:rFonts w:hint="eastAsia" w:ascii="宋体" w:hAnsi="宋体"/>
          <w:color w:val="auto"/>
          <w:sz w:val="24"/>
          <w:szCs w:val="24"/>
          <w:highlight w:val="none"/>
        </w:rPr>
        <w:t>）以上考评办法为暂行办法，机关中心可根据具体实施情况作出修改。</w:t>
      </w:r>
    </w:p>
    <w:p>
      <w:pPr>
        <w:spacing w:line="480" w:lineRule="exact"/>
        <w:ind w:firstLine="640" w:firstLineChars="200"/>
        <w:rPr>
          <w:rFonts w:hint="eastAsia"/>
          <w:color w:val="auto"/>
          <w:sz w:val="32"/>
          <w:szCs w:val="32"/>
          <w:highlight w:val="none"/>
        </w:rPr>
      </w:pPr>
    </w:p>
    <w:p>
      <w:pPr>
        <w:jc w:val="left"/>
        <w:rPr>
          <w:rFonts w:hint="eastAsia" w:ascii="宋体" w:hAnsi="宋体"/>
          <w:b/>
          <w:color w:val="auto"/>
          <w:sz w:val="24"/>
          <w:szCs w:val="24"/>
          <w:highlight w:val="none"/>
        </w:rPr>
      </w:pPr>
      <w:r>
        <w:rPr>
          <w:rFonts w:hint="eastAsia" w:ascii="宋体" w:hAnsi="宋体"/>
          <w:b/>
          <w:color w:val="auto"/>
          <w:sz w:val="24"/>
          <w:szCs w:val="24"/>
          <w:highlight w:val="none"/>
        </w:rPr>
        <w:t>附件：</w:t>
      </w:r>
    </w:p>
    <w:p>
      <w:pPr>
        <w:jc w:val="center"/>
        <w:rPr>
          <w:rFonts w:hint="eastAsia"/>
          <w:b/>
          <w:color w:val="auto"/>
          <w:sz w:val="32"/>
          <w:szCs w:val="32"/>
          <w:highlight w:val="none"/>
        </w:rPr>
      </w:pPr>
      <w:r>
        <w:rPr>
          <w:rFonts w:hint="eastAsia" w:ascii="宋体" w:hAnsi="宋体"/>
          <w:b/>
          <w:color w:val="auto"/>
          <w:sz w:val="32"/>
          <w:szCs w:val="32"/>
          <w:highlight w:val="none"/>
        </w:rPr>
        <w:t>台江区文化活动中心物业管理量化考评内容及评分标准</w:t>
      </w:r>
    </w:p>
    <w:p>
      <w:pPr>
        <w:jc w:val="left"/>
        <w:rPr>
          <w:rFonts w:hint="eastAsia" w:ascii="宋体" w:hAnsi="宋体"/>
          <w:b/>
          <w:color w:val="auto"/>
          <w:sz w:val="24"/>
          <w:szCs w:val="24"/>
          <w:highlight w:val="none"/>
        </w:rPr>
      </w:pPr>
    </w:p>
    <w:tbl>
      <w:tblPr>
        <w:tblStyle w:val="15"/>
        <w:tblW w:w="871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395"/>
        <w:gridCol w:w="2809"/>
        <w:gridCol w:w="77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noWrap w:val="0"/>
            <w:vAlign w:val="center"/>
          </w:tcPr>
          <w:p>
            <w:pPr>
              <w:rPr>
                <w:color w:val="auto"/>
                <w:szCs w:val="21"/>
                <w:highlight w:val="none"/>
              </w:rPr>
            </w:pPr>
            <w:r>
              <w:rPr>
                <w:color w:val="auto"/>
                <w:szCs w:val="21"/>
                <w:highlight w:val="none"/>
              </w:rPr>
              <w:t>序号</w:t>
            </w:r>
          </w:p>
        </w:tc>
        <w:tc>
          <w:tcPr>
            <w:tcW w:w="3395" w:type="dxa"/>
            <w:noWrap w:val="0"/>
            <w:vAlign w:val="center"/>
          </w:tcPr>
          <w:p>
            <w:pPr>
              <w:rPr>
                <w:color w:val="auto"/>
                <w:szCs w:val="21"/>
                <w:highlight w:val="none"/>
              </w:rPr>
            </w:pPr>
            <w:r>
              <w:rPr>
                <w:color w:val="auto"/>
                <w:szCs w:val="21"/>
                <w:highlight w:val="none"/>
              </w:rPr>
              <w:t>标准内容</w:t>
            </w:r>
          </w:p>
        </w:tc>
        <w:tc>
          <w:tcPr>
            <w:tcW w:w="2809" w:type="dxa"/>
            <w:noWrap w:val="0"/>
            <w:vAlign w:val="center"/>
          </w:tcPr>
          <w:p>
            <w:pPr>
              <w:rPr>
                <w:color w:val="auto"/>
                <w:szCs w:val="21"/>
                <w:highlight w:val="none"/>
              </w:rPr>
            </w:pPr>
            <w:r>
              <w:rPr>
                <w:color w:val="auto"/>
                <w:szCs w:val="21"/>
                <w:highlight w:val="none"/>
              </w:rPr>
              <w:t>评分细则</w:t>
            </w:r>
          </w:p>
        </w:tc>
        <w:tc>
          <w:tcPr>
            <w:tcW w:w="778" w:type="dxa"/>
            <w:noWrap w:val="0"/>
            <w:vAlign w:val="center"/>
          </w:tcPr>
          <w:p>
            <w:pPr>
              <w:rPr>
                <w:rFonts w:hint="eastAsia"/>
                <w:color w:val="auto"/>
                <w:szCs w:val="21"/>
                <w:highlight w:val="none"/>
              </w:rPr>
            </w:pPr>
            <w:r>
              <w:rPr>
                <w:rFonts w:hint="eastAsia"/>
                <w:color w:val="auto"/>
                <w:szCs w:val="21"/>
                <w:highlight w:val="none"/>
              </w:rPr>
              <w:t>分值</w:t>
            </w:r>
          </w:p>
        </w:tc>
        <w:tc>
          <w:tcPr>
            <w:tcW w:w="1077" w:type="dxa"/>
            <w:noWrap w:val="0"/>
            <w:vAlign w:val="center"/>
          </w:tcPr>
          <w:p>
            <w:pPr>
              <w:rPr>
                <w:rFonts w:hint="eastAsia"/>
                <w:color w:val="auto"/>
                <w:szCs w:val="21"/>
                <w:highlight w:val="none"/>
              </w:rPr>
            </w:pPr>
            <w:r>
              <w:rPr>
                <w:rFonts w:hint="eastAsia"/>
                <w:color w:val="auto"/>
                <w:szCs w:val="21"/>
                <w:highlight w:val="none"/>
              </w:rPr>
              <w:t>扣分备注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53" w:type="dxa"/>
            <w:vMerge w:val="restart"/>
            <w:shd w:val="clear" w:color="auto" w:fill="auto"/>
            <w:noWrap w:val="0"/>
            <w:vAlign w:val="center"/>
          </w:tcPr>
          <w:p>
            <w:pPr>
              <w:rPr>
                <w:rFonts w:hint="eastAsia"/>
                <w:color w:val="auto"/>
                <w:szCs w:val="21"/>
                <w:highlight w:val="none"/>
              </w:rPr>
            </w:pPr>
            <w:r>
              <w:rPr>
                <w:rFonts w:hint="eastAsia"/>
                <w:color w:val="auto"/>
                <w:szCs w:val="21"/>
                <w:highlight w:val="none"/>
              </w:rPr>
              <w:t>一</w:t>
            </w:r>
          </w:p>
          <w:p>
            <w:pPr>
              <w:rPr>
                <w:rFonts w:hint="eastAsia"/>
                <w:color w:val="auto"/>
                <w:szCs w:val="21"/>
                <w:highlight w:val="none"/>
              </w:rPr>
            </w:pPr>
            <w:r>
              <w:rPr>
                <w:rFonts w:hint="eastAsia"/>
                <w:color w:val="auto"/>
                <w:szCs w:val="21"/>
                <w:highlight w:val="none"/>
              </w:rPr>
              <w:t>基础管理</w:t>
            </w:r>
          </w:p>
        </w:tc>
        <w:tc>
          <w:tcPr>
            <w:tcW w:w="3395" w:type="dxa"/>
            <w:shd w:val="clear" w:color="auto" w:fill="D9D9D9"/>
            <w:noWrap w:val="0"/>
            <w:vAlign w:val="center"/>
          </w:tcPr>
          <w:p>
            <w:pPr>
              <w:rPr>
                <w:color w:val="auto"/>
                <w:szCs w:val="21"/>
                <w:highlight w:val="none"/>
              </w:rPr>
            </w:pPr>
            <w:r>
              <w:rPr>
                <w:color w:val="auto"/>
                <w:szCs w:val="21"/>
                <w:highlight w:val="none"/>
              </w:rPr>
              <w:t>基础管理</w:t>
            </w:r>
          </w:p>
        </w:tc>
        <w:tc>
          <w:tcPr>
            <w:tcW w:w="2809" w:type="dxa"/>
            <w:shd w:val="clear" w:color="auto" w:fill="D9D9D9"/>
            <w:noWrap w:val="0"/>
            <w:vAlign w:val="center"/>
          </w:tcPr>
          <w:p>
            <w:pPr>
              <w:rPr>
                <w:color w:val="auto"/>
                <w:szCs w:val="21"/>
                <w:highlight w:val="none"/>
              </w:rPr>
            </w:pPr>
            <w:r>
              <w:rPr>
                <w:color w:val="auto"/>
                <w:szCs w:val="21"/>
                <w:highlight w:val="none"/>
              </w:rPr>
              <w:t>　</w:t>
            </w:r>
          </w:p>
        </w:tc>
        <w:tc>
          <w:tcPr>
            <w:tcW w:w="778" w:type="dxa"/>
            <w:shd w:val="clear" w:color="auto" w:fill="D9D9D9"/>
            <w:noWrap w:val="0"/>
            <w:vAlign w:val="top"/>
          </w:tcPr>
          <w:p>
            <w:pPr>
              <w:rPr>
                <w:color w:val="auto"/>
                <w:szCs w:val="21"/>
                <w:highlight w:val="none"/>
              </w:rPr>
            </w:pPr>
          </w:p>
        </w:tc>
        <w:tc>
          <w:tcPr>
            <w:tcW w:w="1077" w:type="dxa"/>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1</w:t>
            </w:r>
            <w:r>
              <w:rPr>
                <w:color w:val="auto"/>
                <w:szCs w:val="21"/>
                <w:highlight w:val="none"/>
              </w:rPr>
              <w:t>、</w:t>
            </w:r>
            <w:r>
              <w:rPr>
                <w:rFonts w:hint="eastAsia"/>
                <w:color w:val="auto"/>
                <w:szCs w:val="21"/>
                <w:highlight w:val="none"/>
              </w:rPr>
              <w:t>物业处</w:t>
            </w:r>
            <w:r>
              <w:rPr>
                <w:color w:val="auto"/>
                <w:szCs w:val="21"/>
                <w:highlight w:val="none"/>
              </w:rPr>
              <w:t>设立</w:t>
            </w:r>
            <w:r>
              <w:rPr>
                <w:rFonts w:hint="eastAsia"/>
                <w:color w:val="auto"/>
                <w:szCs w:val="21"/>
                <w:highlight w:val="none"/>
              </w:rPr>
              <w:t>24小时接听</w:t>
            </w:r>
            <w:r>
              <w:rPr>
                <w:color w:val="auto"/>
                <w:szCs w:val="21"/>
                <w:highlight w:val="none"/>
              </w:rPr>
              <w:t>服务电话、接受业主和使用人对物业管理服务报修、求助、建议、问询、质疑、投诉等各类信息的收集和反馈</w:t>
            </w:r>
            <w:r>
              <w:rPr>
                <w:rFonts w:hint="eastAsia"/>
                <w:color w:val="auto"/>
                <w:szCs w:val="21"/>
                <w:highlight w:val="none"/>
              </w:rPr>
              <w:t>，</w:t>
            </w:r>
            <w:r>
              <w:rPr>
                <w:color w:val="auto"/>
                <w:szCs w:val="21"/>
                <w:highlight w:val="none"/>
              </w:rPr>
              <w:t>并及时处理，有回访制度和记录</w:t>
            </w:r>
            <w:r>
              <w:rPr>
                <w:rFonts w:hint="eastAsia"/>
                <w:color w:val="auto"/>
                <w:szCs w:val="21"/>
                <w:highlight w:val="none"/>
              </w:rPr>
              <w:t>。</w:t>
            </w:r>
          </w:p>
        </w:tc>
        <w:tc>
          <w:tcPr>
            <w:tcW w:w="2809" w:type="dxa"/>
            <w:noWrap w:val="0"/>
            <w:vAlign w:val="center"/>
          </w:tcPr>
          <w:p>
            <w:pPr>
              <w:rPr>
                <w:rFonts w:hint="eastAsia"/>
                <w:color w:val="auto"/>
                <w:szCs w:val="21"/>
                <w:highlight w:val="none"/>
              </w:rPr>
            </w:pPr>
            <w:r>
              <w:rPr>
                <w:rFonts w:hint="eastAsia"/>
                <w:color w:val="auto"/>
                <w:szCs w:val="21"/>
                <w:highlight w:val="none"/>
              </w:rPr>
              <w:t>各项制度未上墙每处扣1分，抽查时客服电话无人接听时间超过10分钟，发现一次扣2分。</w:t>
            </w:r>
          </w:p>
        </w:tc>
        <w:tc>
          <w:tcPr>
            <w:tcW w:w="778" w:type="dxa"/>
            <w:vMerge w:val="restar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077" w:type="dxa"/>
            <w:vMerge w:val="restart"/>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2</w:t>
            </w:r>
            <w:r>
              <w:rPr>
                <w:color w:val="auto"/>
                <w:szCs w:val="21"/>
                <w:highlight w:val="none"/>
              </w:rPr>
              <w:t>、</w:t>
            </w:r>
            <w:r>
              <w:rPr>
                <w:rFonts w:hint="eastAsia"/>
                <w:color w:val="auto"/>
                <w:szCs w:val="21"/>
                <w:highlight w:val="none"/>
              </w:rPr>
              <w:t>确保业主零投诉</w:t>
            </w:r>
            <w:r>
              <w:rPr>
                <w:rFonts w:hint="eastAsia"/>
                <w:color w:val="auto"/>
                <w:szCs w:val="21"/>
                <w:highlight w:val="none"/>
                <w:lang w:eastAsia="zh-CN"/>
              </w:rPr>
              <w:t>（含</w:t>
            </w:r>
            <w:r>
              <w:rPr>
                <w:rFonts w:hint="eastAsia"/>
                <w:color w:val="auto"/>
                <w:szCs w:val="21"/>
                <w:highlight w:val="none"/>
                <w:lang w:val="en-US" w:eastAsia="zh-CN"/>
              </w:rPr>
              <w:t>12345上的投诉</w:t>
            </w:r>
            <w:r>
              <w:rPr>
                <w:rFonts w:hint="eastAsia"/>
                <w:color w:val="auto"/>
                <w:szCs w:val="21"/>
                <w:highlight w:val="none"/>
                <w:lang w:eastAsia="zh-CN"/>
              </w:rPr>
              <w:t>）</w:t>
            </w:r>
            <w:r>
              <w:rPr>
                <w:rFonts w:hint="eastAsia"/>
                <w:color w:val="auto"/>
                <w:szCs w:val="21"/>
                <w:highlight w:val="none"/>
              </w:rPr>
              <w:t>。</w:t>
            </w:r>
          </w:p>
        </w:tc>
        <w:tc>
          <w:tcPr>
            <w:tcW w:w="2809"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对有效投诉，视事件严重、影响程度每次扣1-5分，被区及以上部门通报的或被区领导批评一次扣5-10分。</w:t>
            </w:r>
          </w:p>
        </w:tc>
        <w:tc>
          <w:tcPr>
            <w:tcW w:w="778" w:type="dxa"/>
            <w:vMerge w:val="continue"/>
            <w:noWrap w:val="0"/>
            <w:vAlign w:val="top"/>
          </w:tcPr>
          <w:p>
            <w:pPr>
              <w:rPr>
                <w:rFonts w:hint="eastAsia"/>
                <w:color w:val="auto"/>
                <w:szCs w:val="21"/>
                <w:highlight w:val="none"/>
              </w:rPr>
            </w:pPr>
          </w:p>
        </w:tc>
        <w:tc>
          <w:tcPr>
            <w:tcW w:w="1077" w:type="dxa"/>
            <w:vMerge w:val="continue"/>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3、组织物业相关人员业务学习培训每半个月一次，并做好记录。</w:t>
            </w:r>
          </w:p>
        </w:tc>
        <w:tc>
          <w:tcPr>
            <w:tcW w:w="2809" w:type="dxa"/>
            <w:noWrap w:val="0"/>
            <w:vAlign w:val="center"/>
          </w:tcPr>
          <w:p>
            <w:pPr>
              <w:rPr>
                <w:rFonts w:hint="eastAsia"/>
                <w:color w:val="auto"/>
                <w:szCs w:val="21"/>
                <w:highlight w:val="none"/>
              </w:rPr>
            </w:pPr>
            <w:r>
              <w:rPr>
                <w:rFonts w:hint="eastAsia"/>
                <w:color w:val="auto"/>
                <w:szCs w:val="21"/>
                <w:highlight w:val="none"/>
              </w:rPr>
              <w:t>未记录发现一次扣2分。</w:t>
            </w:r>
          </w:p>
        </w:tc>
        <w:tc>
          <w:tcPr>
            <w:tcW w:w="778" w:type="dxa"/>
            <w:vMerge w:val="continue"/>
            <w:noWrap w:val="0"/>
            <w:vAlign w:val="top"/>
          </w:tcPr>
          <w:p>
            <w:pPr>
              <w:rPr>
                <w:rFonts w:hint="eastAsia"/>
                <w:color w:val="auto"/>
                <w:szCs w:val="21"/>
                <w:highlight w:val="none"/>
              </w:rPr>
            </w:pPr>
          </w:p>
        </w:tc>
        <w:tc>
          <w:tcPr>
            <w:tcW w:w="1077" w:type="dxa"/>
            <w:vMerge w:val="continue"/>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4、24小时值班（消控中心、工程人员、保安），值班人员应坚守岗位，严禁脱岗。</w:t>
            </w:r>
          </w:p>
        </w:tc>
        <w:tc>
          <w:tcPr>
            <w:tcW w:w="2809" w:type="dxa"/>
            <w:noWrap w:val="0"/>
            <w:vAlign w:val="center"/>
          </w:tcPr>
          <w:p>
            <w:pPr>
              <w:rPr>
                <w:color w:val="auto"/>
                <w:szCs w:val="21"/>
                <w:highlight w:val="none"/>
              </w:rPr>
            </w:pPr>
            <w:r>
              <w:rPr>
                <w:rFonts w:hint="eastAsia"/>
                <w:color w:val="auto"/>
                <w:szCs w:val="21"/>
                <w:highlight w:val="none"/>
              </w:rPr>
              <w:t>抽查时如发现离岗、睡岗的每人扣3分。</w:t>
            </w:r>
          </w:p>
        </w:tc>
        <w:tc>
          <w:tcPr>
            <w:tcW w:w="778" w:type="dxa"/>
            <w:vMerge w:val="continue"/>
            <w:noWrap w:val="0"/>
            <w:vAlign w:val="top"/>
          </w:tcPr>
          <w:p>
            <w:pPr>
              <w:rPr>
                <w:rFonts w:hint="eastAsia"/>
                <w:color w:val="auto"/>
                <w:szCs w:val="21"/>
                <w:highlight w:val="none"/>
              </w:rPr>
            </w:pPr>
          </w:p>
        </w:tc>
        <w:tc>
          <w:tcPr>
            <w:tcW w:w="1077" w:type="dxa"/>
            <w:vMerge w:val="continue"/>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restart"/>
            <w:shd w:val="clear" w:color="auto" w:fill="auto"/>
            <w:noWrap w:val="0"/>
            <w:vAlign w:val="center"/>
          </w:tcPr>
          <w:p>
            <w:pPr>
              <w:rPr>
                <w:rFonts w:hint="eastAsia"/>
                <w:color w:val="auto"/>
                <w:szCs w:val="21"/>
                <w:highlight w:val="none"/>
              </w:rPr>
            </w:pPr>
            <w:r>
              <w:rPr>
                <w:rFonts w:hint="eastAsia"/>
                <w:color w:val="auto"/>
                <w:szCs w:val="21"/>
                <w:highlight w:val="none"/>
              </w:rPr>
              <w:t>二</w:t>
            </w:r>
          </w:p>
          <w:p>
            <w:pPr>
              <w:rPr>
                <w:rFonts w:hint="eastAsia"/>
                <w:color w:val="auto"/>
                <w:szCs w:val="21"/>
                <w:highlight w:val="none"/>
              </w:rPr>
            </w:pPr>
            <w:r>
              <w:rPr>
                <w:rFonts w:hint="eastAsia"/>
                <w:color w:val="auto"/>
                <w:szCs w:val="21"/>
                <w:highlight w:val="none"/>
              </w:rPr>
              <w:t>保安及车辆管理</w:t>
            </w:r>
          </w:p>
        </w:tc>
        <w:tc>
          <w:tcPr>
            <w:tcW w:w="3395"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保安及车辆管理</w:t>
            </w:r>
          </w:p>
        </w:tc>
        <w:tc>
          <w:tcPr>
            <w:tcW w:w="2809"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　</w:t>
            </w:r>
          </w:p>
        </w:tc>
        <w:tc>
          <w:tcPr>
            <w:tcW w:w="778" w:type="dxa"/>
            <w:vMerge w:val="restart"/>
            <w:shd w:val="clear" w:color="auto" w:fill="D9D9D9"/>
            <w:noWrap w:val="0"/>
            <w:vAlign w:val="center"/>
          </w:tcPr>
          <w:p>
            <w:pPr>
              <w:jc w:val="center"/>
              <w:rPr>
                <w:color w:val="auto"/>
                <w:szCs w:val="21"/>
                <w:highlight w:val="none"/>
              </w:rPr>
            </w:pPr>
            <w:r>
              <w:rPr>
                <w:rFonts w:hint="eastAsia"/>
                <w:color w:val="auto"/>
                <w:szCs w:val="21"/>
                <w:highlight w:val="none"/>
              </w:rPr>
              <w:t>15</w:t>
            </w: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1</w:t>
            </w:r>
            <w:r>
              <w:rPr>
                <w:color w:val="auto"/>
                <w:szCs w:val="21"/>
                <w:highlight w:val="none"/>
              </w:rPr>
              <w:t>、</w:t>
            </w:r>
            <w:r>
              <w:rPr>
                <w:rFonts w:hint="eastAsia"/>
                <w:color w:val="auto"/>
                <w:szCs w:val="21"/>
                <w:highlight w:val="none"/>
              </w:rPr>
              <w:t>保安人员每周安排一次体能训练或业务培训。</w:t>
            </w:r>
          </w:p>
        </w:tc>
        <w:tc>
          <w:tcPr>
            <w:tcW w:w="2809" w:type="dxa"/>
            <w:noWrap w:val="0"/>
            <w:vAlign w:val="center"/>
          </w:tcPr>
          <w:p>
            <w:pPr>
              <w:rPr>
                <w:rFonts w:hint="eastAsia"/>
                <w:color w:val="auto"/>
                <w:szCs w:val="21"/>
                <w:highlight w:val="none"/>
              </w:rPr>
            </w:pPr>
            <w:r>
              <w:rPr>
                <w:rFonts w:hint="eastAsia"/>
                <w:color w:val="auto"/>
                <w:szCs w:val="21"/>
                <w:highlight w:val="none"/>
              </w:rPr>
              <w:t>未执行一次扣1分。</w:t>
            </w:r>
          </w:p>
        </w:tc>
        <w:tc>
          <w:tcPr>
            <w:tcW w:w="778" w:type="dxa"/>
            <w:vMerge w:val="continue"/>
            <w:noWrap w:val="0"/>
            <w:vAlign w:val="center"/>
          </w:tcPr>
          <w:p>
            <w:pPr>
              <w:jc w:val="center"/>
              <w:rPr>
                <w:rFonts w:hint="eastAsia"/>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eastAsia="宋体"/>
                <w:color w:val="auto"/>
                <w:szCs w:val="21"/>
                <w:highlight w:val="none"/>
                <w:lang w:val="en-US" w:eastAsia="zh-CN"/>
              </w:rPr>
            </w:pPr>
            <w:r>
              <w:rPr>
                <w:rFonts w:hint="eastAsia"/>
                <w:color w:val="auto"/>
                <w:szCs w:val="21"/>
                <w:highlight w:val="none"/>
                <w:lang w:val="en-US" w:eastAsia="zh-CN"/>
              </w:rPr>
              <w:t>2、保安统一制服，穿戴整齐，不得留长头发，不得留胡须、剃光头，礼貌待人，站有站姿，保安交接班有登记记录。</w:t>
            </w:r>
          </w:p>
        </w:tc>
        <w:tc>
          <w:tcPr>
            <w:tcW w:w="2809" w:type="dxa"/>
            <w:noWrap w:val="0"/>
            <w:vAlign w:val="center"/>
          </w:tcPr>
          <w:p>
            <w:pPr>
              <w:rPr>
                <w:rFonts w:hint="eastAsia"/>
                <w:color w:val="auto"/>
                <w:szCs w:val="21"/>
                <w:highlight w:val="none"/>
              </w:rPr>
            </w:pPr>
            <w:r>
              <w:rPr>
                <w:color w:val="auto"/>
                <w:szCs w:val="21"/>
                <w:highlight w:val="none"/>
              </w:rPr>
              <w:t>发现一处不符合扣</w:t>
            </w:r>
            <w:r>
              <w:rPr>
                <w:rFonts w:hint="eastAsia"/>
                <w:color w:val="auto"/>
                <w:szCs w:val="21"/>
                <w:highlight w:val="none"/>
              </w:rPr>
              <w:t>1分。</w:t>
            </w:r>
          </w:p>
        </w:tc>
        <w:tc>
          <w:tcPr>
            <w:tcW w:w="778" w:type="dxa"/>
            <w:vMerge w:val="continue"/>
            <w:noWrap w:val="0"/>
            <w:vAlign w:val="center"/>
          </w:tcPr>
          <w:p>
            <w:pPr>
              <w:jc w:val="center"/>
              <w:rPr>
                <w:rFonts w:hint="eastAsia"/>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eastAsia="宋体"/>
                <w:color w:val="auto"/>
                <w:szCs w:val="21"/>
                <w:highlight w:val="none"/>
                <w:lang w:val="en-US" w:eastAsia="zh-CN"/>
              </w:rPr>
            </w:pPr>
            <w:r>
              <w:rPr>
                <w:rFonts w:hint="eastAsia"/>
                <w:color w:val="auto"/>
                <w:szCs w:val="21"/>
                <w:highlight w:val="none"/>
                <w:lang w:val="en-US" w:eastAsia="zh-CN"/>
              </w:rPr>
              <w:t>3、保安室保持干净整洁，不得随意堆放杂物，不得在室内抽烟。</w:t>
            </w:r>
          </w:p>
        </w:tc>
        <w:tc>
          <w:tcPr>
            <w:tcW w:w="2809" w:type="dxa"/>
            <w:noWrap w:val="0"/>
            <w:vAlign w:val="center"/>
          </w:tcPr>
          <w:p>
            <w:pPr>
              <w:rPr>
                <w:rFonts w:hint="eastAsia"/>
                <w:color w:val="auto"/>
                <w:szCs w:val="21"/>
                <w:highlight w:val="none"/>
              </w:rPr>
            </w:pPr>
            <w:r>
              <w:rPr>
                <w:color w:val="auto"/>
                <w:szCs w:val="21"/>
                <w:highlight w:val="none"/>
              </w:rPr>
              <w:t>发现一处不符合扣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lang w:val="en-US" w:eastAsia="zh-CN"/>
              </w:rPr>
              <w:t>4</w:t>
            </w:r>
            <w:r>
              <w:rPr>
                <w:color w:val="auto"/>
                <w:szCs w:val="21"/>
                <w:highlight w:val="none"/>
              </w:rPr>
              <w:t>、</w:t>
            </w:r>
            <w:r>
              <w:rPr>
                <w:rFonts w:hint="eastAsia"/>
                <w:color w:val="auto"/>
                <w:szCs w:val="21"/>
                <w:highlight w:val="none"/>
              </w:rPr>
              <w:t>机动车和非机动车库</w:t>
            </w:r>
            <w:r>
              <w:rPr>
                <w:color w:val="auto"/>
                <w:szCs w:val="21"/>
                <w:highlight w:val="none"/>
              </w:rPr>
              <w:t>管理严格，</w:t>
            </w:r>
            <w:r>
              <w:rPr>
                <w:rFonts w:hint="eastAsia"/>
                <w:color w:val="auto"/>
                <w:szCs w:val="21"/>
                <w:highlight w:val="none"/>
              </w:rPr>
              <w:t>车辆停放有序，非机动车库发放出入卡，严禁私自收费。</w:t>
            </w:r>
          </w:p>
        </w:tc>
        <w:tc>
          <w:tcPr>
            <w:tcW w:w="2809" w:type="dxa"/>
            <w:noWrap w:val="0"/>
            <w:vAlign w:val="center"/>
          </w:tcPr>
          <w:p>
            <w:pPr>
              <w:rPr>
                <w:rFonts w:hint="eastAsia"/>
                <w:color w:val="auto"/>
                <w:szCs w:val="21"/>
                <w:highlight w:val="none"/>
              </w:rPr>
            </w:pPr>
            <w:r>
              <w:rPr>
                <w:rFonts w:hint="eastAsia"/>
                <w:color w:val="auto"/>
                <w:szCs w:val="21"/>
                <w:highlight w:val="none"/>
              </w:rPr>
              <w:t>未经批准的区域停放车辆每次扣1分；发现一次有投诉收费的扣2分；重大会议做好车辆清场引导工作，未处理好的扣3分。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lang w:val="en-US" w:eastAsia="zh-CN"/>
              </w:rPr>
              <w:t>5</w:t>
            </w:r>
            <w:r>
              <w:rPr>
                <w:rFonts w:hint="eastAsia"/>
                <w:color w:val="auto"/>
                <w:szCs w:val="21"/>
                <w:highlight w:val="none"/>
              </w:rPr>
              <w:t>、各楼层保安巡检记录完整，巡逻内容含卫生、安全及配备设施运转情况等。</w:t>
            </w:r>
          </w:p>
        </w:tc>
        <w:tc>
          <w:tcPr>
            <w:tcW w:w="2809" w:type="dxa"/>
            <w:noWrap w:val="0"/>
            <w:vAlign w:val="top"/>
          </w:tcPr>
          <w:p>
            <w:pPr>
              <w:rPr>
                <w:color w:val="auto"/>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、对</w:t>
            </w:r>
            <w:r>
              <w:rPr>
                <w:rFonts w:hint="eastAsia"/>
                <w:color w:val="auto"/>
                <w:szCs w:val="21"/>
                <w:highlight w:val="none"/>
                <w:lang w:eastAsia="zh-CN"/>
              </w:rPr>
              <w:t>来访人员做好登记，对</w:t>
            </w:r>
            <w:r>
              <w:rPr>
                <w:rFonts w:hint="eastAsia"/>
                <w:color w:val="auto"/>
                <w:szCs w:val="21"/>
                <w:highlight w:val="none"/>
              </w:rPr>
              <w:t>上访群众要做好“劝、疏、阻”工作，耐心劝说，积极疏导，防止</w:t>
            </w:r>
            <w:r>
              <w:rPr>
                <w:rFonts w:hint="eastAsia"/>
                <w:color w:val="auto"/>
                <w:szCs w:val="21"/>
                <w:highlight w:val="none"/>
                <w:lang w:eastAsia="zh-CN"/>
              </w:rPr>
              <w:t>未登记人员进入大楼内部</w:t>
            </w:r>
            <w:r>
              <w:rPr>
                <w:rFonts w:hint="eastAsia"/>
                <w:color w:val="auto"/>
                <w:szCs w:val="21"/>
                <w:highlight w:val="none"/>
              </w:rPr>
              <w:t>。</w:t>
            </w:r>
          </w:p>
        </w:tc>
        <w:tc>
          <w:tcPr>
            <w:tcW w:w="2809" w:type="dxa"/>
            <w:noWrap w:val="0"/>
            <w:vAlign w:val="center"/>
          </w:tcPr>
          <w:p>
            <w:pPr>
              <w:rPr>
                <w:rFonts w:hint="eastAsia"/>
                <w:color w:val="auto"/>
                <w:szCs w:val="21"/>
                <w:highlight w:val="none"/>
              </w:rPr>
            </w:pPr>
            <w:r>
              <w:rPr>
                <w:rFonts w:hint="eastAsia"/>
                <w:color w:val="auto"/>
                <w:szCs w:val="21"/>
                <w:highlight w:val="none"/>
              </w:rPr>
              <w:t>发现</w:t>
            </w:r>
            <w:r>
              <w:rPr>
                <w:rFonts w:hint="eastAsia"/>
                <w:color w:val="auto"/>
                <w:szCs w:val="21"/>
                <w:highlight w:val="none"/>
                <w:lang w:eastAsia="zh-CN"/>
              </w:rPr>
              <w:t>未登记</w:t>
            </w:r>
            <w:r>
              <w:rPr>
                <w:rFonts w:hint="eastAsia"/>
                <w:color w:val="auto"/>
                <w:szCs w:val="21"/>
                <w:highlight w:val="none"/>
              </w:rPr>
              <w:t>人员进入大楼的发现一次扣1分。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lang w:val="en-US" w:eastAsia="zh-CN"/>
              </w:rPr>
              <w:t>7</w:t>
            </w:r>
            <w:r>
              <w:rPr>
                <w:rFonts w:hint="eastAsia"/>
                <w:color w:val="auto"/>
                <w:szCs w:val="21"/>
                <w:highlight w:val="none"/>
              </w:rPr>
              <w:t>、上班前、上班时不得饮酒；上班期间内不与他人谈笑、打闹，看书看报、玩手机、看彩票，不做与本职工作无关的事。</w:t>
            </w:r>
          </w:p>
        </w:tc>
        <w:tc>
          <w:tcPr>
            <w:tcW w:w="2809" w:type="dxa"/>
            <w:noWrap w:val="0"/>
            <w:vAlign w:val="center"/>
          </w:tcPr>
          <w:p>
            <w:pPr>
              <w:rPr>
                <w:rFonts w:hint="eastAsia"/>
                <w:color w:val="auto"/>
                <w:szCs w:val="21"/>
                <w:highlight w:val="none"/>
              </w:rPr>
            </w:pPr>
            <w:r>
              <w:rPr>
                <w:rFonts w:hint="eastAsia"/>
                <w:color w:val="auto"/>
                <w:szCs w:val="21"/>
                <w:highlight w:val="none"/>
              </w:rPr>
              <w:t>发现一次扣1分。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53" w:type="dxa"/>
            <w:vMerge w:val="restart"/>
            <w:shd w:val="clear" w:color="auto" w:fill="auto"/>
            <w:noWrap w:val="0"/>
            <w:vAlign w:val="center"/>
          </w:tcPr>
          <w:p>
            <w:pPr>
              <w:jc w:val="center"/>
              <w:rPr>
                <w:rFonts w:hint="eastAsia"/>
                <w:color w:val="auto"/>
                <w:szCs w:val="21"/>
                <w:highlight w:val="none"/>
              </w:rPr>
            </w:pPr>
            <w:r>
              <w:rPr>
                <w:rFonts w:hint="eastAsia"/>
                <w:color w:val="auto"/>
                <w:szCs w:val="21"/>
                <w:highlight w:val="none"/>
              </w:rPr>
              <w:t>三设备设施管理</w:t>
            </w:r>
          </w:p>
        </w:tc>
        <w:tc>
          <w:tcPr>
            <w:tcW w:w="3395" w:type="dxa"/>
            <w:shd w:val="clear" w:color="auto" w:fill="D9D9D9"/>
            <w:noWrap w:val="0"/>
            <w:vAlign w:val="center"/>
          </w:tcPr>
          <w:p>
            <w:pPr>
              <w:rPr>
                <w:color w:val="auto"/>
                <w:szCs w:val="21"/>
                <w:highlight w:val="none"/>
              </w:rPr>
            </w:pPr>
            <w:r>
              <w:rPr>
                <w:color w:val="auto"/>
                <w:szCs w:val="21"/>
                <w:highlight w:val="none"/>
              </w:rPr>
              <w:t>共用设施设备管理</w:t>
            </w:r>
          </w:p>
        </w:tc>
        <w:tc>
          <w:tcPr>
            <w:tcW w:w="2809" w:type="dxa"/>
            <w:shd w:val="clear" w:color="auto" w:fill="D9D9D9"/>
            <w:noWrap w:val="0"/>
            <w:vAlign w:val="center"/>
          </w:tcPr>
          <w:p>
            <w:pPr>
              <w:rPr>
                <w:color w:val="auto"/>
                <w:szCs w:val="21"/>
                <w:highlight w:val="none"/>
              </w:rPr>
            </w:pPr>
            <w:r>
              <w:rPr>
                <w:color w:val="auto"/>
                <w:szCs w:val="21"/>
                <w:highlight w:val="none"/>
              </w:rPr>
              <w:t>　</w:t>
            </w:r>
          </w:p>
        </w:tc>
        <w:tc>
          <w:tcPr>
            <w:tcW w:w="778" w:type="dxa"/>
            <w:vMerge w:val="restart"/>
            <w:shd w:val="clear" w:color="auto" w:fill="D9D9D9"/>
            <w:noWrap w:val="0"/>
            <w:vAlign w:val="center"/>
          </w:tcPr>
          <w:p>
            <w:pPr>
              <w:jc w:val="center"/>
              <w:rPr>
                <w:color w:val="auto"/>
                <w:szCs w:val="21"/>
                <w:highlight w:val="none"/>
              </w:rPr>
            </w:pPr>
            <w:r>
              <w:rPr>
                <w:rFonts w:hint="eastAsia"/>
                <w:color w:val="auto"/>
                <w:szCs w:val="21"/>
                <w:highlight w:val="none"/>
              </w:rPr>
              <w:t>20</w:t>
            </w:r>
          </w:p>
        </w:tc>
        <w:tc>
          <w:tcPr>
            <w:tcW w:w="1077" w:type="dxa"/>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53" w:type="dxa"/>
            <w:vMerge w:val="continue"/>
            <w:shd w:val="clear" w:color="auto" w:fill="auto"/>
            <w:noWrap w:val="0"/>
            <w:vAlign w:val="top"/>
          </w:tcPr>
          <w:p>
            <w:pPr>
              <w:rPr>
                <w:color w:val="auto"/>
                <w:szCs w:val="21"/>
                <w:highlight w:val="none"/>
              </w:rPr>
            </w:pPr>
          </w:p>
        </w:tc>
        <w:tc>
          <w:tcPr>
            <w:tcW w:w="3395" w:type="dxa"/>
            <w:shd w:val="clear" w:color="auto" w:fill="D9D9D9"/>
            <w:noWrap w:val="0"/>
            <w:vAlign w:val="center"/>
          </w:tcPr>
          <w:p>
            <w:pPr>
              <w:rPr>
                <w:color w:val="auto"/>
                <w:szCs w:val="21"/>
                <w:highlight w:val="none"/>
              </w:rPr>
            </w:pPr>
            <w:r>
              <w:rPr>
                <w:color w:val="auto"/>
                <w:szCs w:val="21"/>
                <w:highlight w:val="none"/>
              </w:rPr>
              <w:t>(</w:t>
            </w:r>
            <w:r>
              <w:rPr>
                <w:rFonts w:hint="eastAsia"/>
                <w:color w:val="auto"/>
                <w:szCs w:val="21"/>
                <w:highlight w:val="none"/>
              </w:rPr>
              <w:t>一</w:t>
            </w:r>
            <w:r>
              <w:rPr>
                <w:color w:val="auto"/>
                <w:szCs w:val="21"/>
                <w:highlight w:val="none"/>
              </w:rPr>
              <w:t>)供电系统</w:t>
            </w:r>
          </w:p>
        </w:tc>
        <w:tc>
          <w:tcPr>
            <w:tcW w:w="2809" w:type="dxa"/>
            <w:shd w:val="clear" w:color="auto" w:fill="D9D9D9"/>
            <w:noWrap w:val="0"/>
            <w:vAlign w:val="center"/>
          </w:tcPr>
          <w:p>
            <w:pPr>
              <w:rPr>
                <w:color w:val="auto"/>
                <w:szCs w:val="21"/>
                <w:highlight w:val="none"/>
              </w:rPr>
            </w:pPr>
            <w:r>
              <w:rPr>
                <w:color w:val="auto"/>
                <w:szCs w:val="21"/>
                <w:highlight w:val="none"/>
              </w:rPr>
              <w:t>　</w:t>
            </w:r>
          </w:p>
        </w:tc>
        <w:tc>
          <w:tcPr>
            <w:tcW w:w="778" w:type="dxa"/>
            <w:vMerge w:val="continue"/>
            <w:shd w:val="clear" w:color="auto" w:fill="D9D9D9"/>
            <w:noWrap w:val="0"/>
            <w:vAlign w:val="center"/>
          </w:tcPr>
          <w:p>
            <w:pPr>
              <w:jc w:val="center"/>
              <w:rPr>
                <w:rFonts w:hint="eastAsia"/>
                <w:color w:val="auto"/>
                <w:szCs w:val="21"/>
                <w:highlight w:val="none"/>
              </w:rPr>
            </w:pPr>
          </w:p>
        </w:tc>
        <w:tc>
          <w:tcPr>
            <w:tcW w:w="1077" w:type="dxa"/>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1</w:t>
            </w:r>
            <w:r>
              <w:rPr>
                <w:color w:val="auto"/>
                <w:szCs w:val="21"/>
                <w:highlight w:val="none"/>
              </w:rPr>
              <w:t>、</w:t>
            </w:r>
            <w:r>
              <w:rPr>
                <w:rFonts w:hint="eastAsia"/>
                <w:color w:val="auto"/>
                <w:szCs w:val="21"/>
                <w:highlight w:val="none"/>
              </w:rPr>
              <w:t>保持配电室内照明灯具、应急照明、各种指示灯仪表良好。设备运行记录按有关行业规定必须完整，准确，清晰。</w:t>
            </w:r>
          </w:p>
        </w:tc>
        <w:tc>
          <w:tcPr>
            <w:tcW w:w="2809" w:type="dxa"/>
            <w:noWrap w:val="0"/>
            <w:vAlign w:val="center"/>
          </w:tcPr>
          <w:p>
            <w:pPr>
              <w:rPr>
                <w:rFonts w:hint="eastAsia"/>
                <w:color w:val="auto"/>
                <w:szCs w:val="21"/>
                <w:highlight w:val="none"/>
              </w:rPr>
            </w:pPr>
            <w:r>
              <w:rPr>
                <w:rFonts w:hint="eastAsia"/>
                <w:color w:val="auto"/>
                <w:szCs w:val="21"/>
                <w:highlight w:val="none"/>
              </w:rPr>
              <w:t>发现不符合一处扣1分。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2</w:t>
            </w:r>
            <w:r>
              <w:rPr>
                <w:color w:val="auto"/>
                <w:szCs w:val="21"/>
                <w:highlight w:val="none"/>
              </w:rPr>
              <w:t>、</w:t>
            </w:r>
            <w:r>
              <w:rPr>
                <w:rFonts w:hint="eastAsia"/>
                <w:color w:val="auto"/>
                <w:szCs w:val="21"/>
                <w:highlight w:val="none"/>
              </w:rPr>
              <w:t>保持配电室内卫生清洁，不乱堆杂物，仪表箱无灰尘，禁止吸烟，无蜘蛛网。</w:t>
            </w:r>
          </w:p>
        </w:tc>
        <w:tc>
          <w:tcPr>
            <w:tcW w:w="2809" w:type="dxa"/>
            <w:noWrap w:val="0"/>
            <w:vAlign w:val="center"/>
          </w:tcPr>
          <w:p>
            <w:pPr>
              <w:rPr>
                <w:rFonts w:hint="eastAsia"/>
                <w:color w:val="auto"/>
                <w:szCs w:val="21"/>
                <w:highlight w:val="none"/>
              </w:rPr>
            </w:pPr>
            <w:r>
              <w:rPr>
                <w:rFonts w:hint="eastAsia"/>
                <w:color w:val="auto"/>
                <w:szCs w:val="21"/>
                <w:highlight w:val="none"/>
              </w:rPr>
              <w:t>不符一处扣1分。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53" w:type="dxa"/>
            <w:vMerge w:val="continue"/>
            <w:shd w:val="clear" w:color="auto" w:fill="auto"/>
            <w:noWrap w:val="0"/>
            <w:vAlign w:val="top"/>
          </w:tcPr>
          <w:p>
            <w:pPr>
              <w:rPr>
                <w:color w:val="auto"/>
                <w:szCs w:val="21"/>
                <w:highlight w:val="none"/>
              </w:rPr>
            </w:pPr>
          </w:p>
        </w:tc>
        <w:tc>
          <w:tcPr>
            <w:tcW w:w="3395" w:type="dxa"/>
            <w:shd w:val="clear" w:color="auto" w:fill="D9D9D9"/>
            <w:noWrap w:val="0"/>
            <w:vAlign w:val="center"/>
          </w:tcPr>
          <w:p>
            <w:pPr>
              <w:rPr>
                <w:color w:val="auto"/>
                <w:szCs w:val="21"/>
                <w:highlight w:val="none"/>
              </w:rPr>
            </w:pPr>
            <w:r>
              <w:rPr>
                <w:color w:val="auto"/>
                <w:szCs w:val="21"/>
                <w:highlight w:val="none"/>
              </w:rPr>
              <w:t>(</w:t>
            </w:r>
            <w:r>
              <w:rPr>
                <w:rFonts w:hint="eastAsia"/>
                <w:color w:val="auto"/>
                <w:szCs w:val="21"/>
                <w:highlight w:val="none"/>
              </w:rPr>
              <w:t>二</w:t>
            </w:r>
            <w:r>
              <w:rPr>
                <w:color w:val="auto"/>
                <w:szCs w:val="21"/>
                <w:highlight w:val="none"/>
              </w:rPr>
              <w:t>)消防系统</w:t>
            </w:r>
          </w:p>
        </w:tc>
        <w:tc>
          <w:tcPr>
            <w:tcW w:w="2809" w:type="dxa"/>
            <w:shd w:val="clear" w:color="auto" w:fill="D9D9D9"/>
            <w:noWrap w:val="0"/>
            <w:vAlign w:val="center"/>
          </w:tcPr>
          <w:p>
            <w:pPr>
              <w:rPr>
                <w:color w:val="auto"/>
                <w:szCs w:val="21"/>
                <w:highlight w:val="none"/>
              </w:rPr>
            </w:pPr>
            <w:r>
              <w:rPr>
                <w:color w:val="auto"/>
                <w:szCs w:val="21"/>
                <w:highlight w:val="none"/>
              </w:rPr>
              <w:t>　</w:t>
            </w:r>
          </w:p>
        </w:tc>
        <w:tc>
          <w:tcPr>
            <w:tcW w:w="778" w:type="dxa"/>
            <w:vMerge w:val="continue"/>
            <w:shd w:val="clear" w:color="auto" w:fill="D9D9D9"/>
            <w:noWrap w:val="0"/>
            <w:vAlign w:val="top"/>
          </w:tcPr>
          <w:p>
            <w:pPr>
              <w:rPr>
                <w:color w:val="auto"/>
                <w:szCs w:val="21"/>
                <w:highlight w:val="none"/>
              </w:rPr>
            </w:pPr>
          </w:p>
        </w:tc>
        <w:tc>
          <w:tcPr>
            <w:tcW w:w="1077" w:type="dxa"/>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1</w:t>
            </w:r>
            <w:r>
              <w:rPr>
                <w:color w:val="auto"/>
                <w:szCs w:val="21"/>
                <w:highlight w:val="none"/>
              </w:rPr>
              <w:t>、</w:t>
            </w:r>
            <w:r>
              <w:rPr>
                <w:rFonts w:hint="eastAsia"/>
                <w:color w:val="auto"/>
                <w:szCs w:val="21"/>
                <w:highlight w:val="none"/>
              </w:rPr>
              <w:t>消监控室24</w:t>
            </w:r>
            <w:r>
              <w:rPr>
                <w:rFonts w:hint="eastAsia"/>
                <w:color w:val="auto"/>
                <w:szCs w:val="21"/>
                <w:highlight w:val="none"/>
                <w:lang w:eastAsia="zh-CN"/>
              </w:rPr>
              <w:t>小时</w:t>
            </w:r>
            <w:r>
              <w:rPr>
                <w:rFonts w:hint="eastAsia"/>
                <w:color w:val="auto"/>
                <w:szCs w:val="21"/>
                <w:highlight w:val="none"/>
              </w:rPr>
              <w:t>值班，异常状态及时处理排除并记录，保持消监控室干净整洁，不得使用明火和电热器具等。</w:t>
            </w:r>
          </w:p>
        </w:tc>
        <w:tc>
          <w:tcPr>
            <w:tcW w:w="2809" w:type="dxa"/>
            <w:noWrap w:val="0"/>
            <w:vAlign w:val="center"/>
          </w:tcPr>
          <w:p>
            <w:pPr>
              <w:rPr>
                <w:rFonts w:hint="eastAsia"/>
                <w:color w:val="auto"/>
                <w:szCs w:val="21"/>
                <w:highlight w:val="none"/>
              </w:rPr>
            </w:pPr>
            <w:r>
              <w:rPr>
                <w:rFonts w:hint="eastAsia"/>
                <w:color w:val="auto"/>
                <w:szCs w:val="21"/>
                <w:highlight w:val="none"/>
              </w:rPr>
              <w:t>发现一次不符扣1分。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2</w:t>
            </w:r>
            <w:r>
              <w:rPr>
                <w:color w:val="auto"/>
                <w:szCs w:val="21"/>
                <w:highlight w:val="none"/>
              </w:rPr>
              <w:t>、</w:t>
            </w:r>
            <w:r>
              <w:rPr>
                <w:rFonts w:hint="eastAsia"/>
                <w:color w:val="auto"/>
                <w:szCs w:val="21"/>
                <w:highlight w:val="none"/>
              </w:rPr>
              <w:t>灭火器状态正常可使用，灭火器箱贴有检查封条，箱体表面干净无尘；保持消火栓状态正常可使用，有检查记录。</w:t>
            </w:r>
          </w:p>
        </w:tc>
        <w:tc>
          <w:tcPr>
            <w:tcW w:w="2809" w:type="dxa"/>
            <w:noWrap w:val="0"/>
            <w:vAlign w:val="center"/>
          </w:tcPr>
          <w:p>
            <w:pPr>
              <w:rPr>
                <w:rFonts w:hint="eastAsia"/>
                <w:color w:val="auto"/>
                <w:szCs w:val="21"/>
                <w:highlight w:val="none"/>
              </w:rPr>
            </w:pPr>
            <w:r>
              <w:rPr>
                <w:rFonts w:hint="eastAsia"/>
                <w:color w:val="auto"/>
                <w:szCs w:val="21"/>
                <w:highlight w:val="none"/>
              </w:rPr>
              <w:t>发现一次不符扣1分。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3</w:t>
            </w:r>
            <w:r>
              <w:rPr>
                <w:color w:val="auto"/>
                <w:szCs w:val="21"/>
                <w:highlight w:val="none"/>
              </w:rPr>
              <w:t>、在明显处设立消防疏散示意图</w:t>
            </w:r>
            <w:r>
              <w:rPr>
                <w:rFonts w:hint="eastAsia"/>
                <w:color w:val="auto"/>
                <w:szCs w:val="21"/>
                <w:highlight w:val="none"/>
              </w:rPr>
              <w:t>，</w:t>
            </w:r>
            <w:r>
              <w:rPr>
                <w:color w:val="auto"/>
                <w:szCs w:val="21"/>
                <w:highlight w:val="none"/>
              </w:rPr>
              <w:t>照明设施、引路标志完好，</w:t>
            </w:r>
            <w:r>
              <w:rPr>
                <w:rFonts w:hint="eastAsia"/>
                <w:color w:val="auto"/>
                <w:szCs w:val="21"/>
                <w:highlight w:val="none"/>
              </w:rPr>
              <w:t>消防</w:t>
            </w:r>
            <w:r>
              <w:rPr>
                <w:color w:val="auto"/>
                <w:szCs w:val="21"/>
                <w:highlight w:val="none"/>
              </w:rPr>
              <w:t>通道畅通无阻</w:t>
            </w:r>
            <w:r>
              <w:rPr>
                <w:rFonts w:hint="eastAsia"/>
                <w:color w:val="auto"/>
                <w:szCs w:val="21"/>
                <w:highlight w:val="none"/>
              </w:rPr>
              <w:t>。</w:t>
            </w:r>
          </w:p>
        </w:tc>
        <w:tc>
          <w:tcPr>
            <w:tcW w:w="2809" w:type="dxa"/>
            <w:noWrap w:val="0"/>
            <w:vAlign w:val="center"/>
          </w:tcPr>
          <w:p>
            <w:pPr>
              <w:rPr>
                <w:rFonts w:hint="eastAsia"/>
                <w:color w:val="auto"/>
                <w:szCs w:val="21"/>
                <w:highlight w:val="none"/>
              </w:rPr>
            </w:pPr>
            <w:r>
              <w:rPr>
                <w:rFonts w:hint="eastAsia"/>
                <w:color w:val="auto"/>
                <w:szCs w:val="21"/>
                <w:highlight w:val="none"/>
              </w:rPr>
              <w:t>消防通道未经管理单位同意，任意堆放办公物品或杂物的，每发现一处扣1分。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4、</w:t>
            </w:r>
            <w:r>
              <w:rPr>
                <w:color w:val="auto"/>
                <w:szCs w:val="21"/>
                <w:highlight w:val="none"/>
              </w:rPr>
              <w:t>组织开展消防法规及消防知识的宣传教育，</w:t>
            </w:r>
            <w:r>
              <w:rPr>
                <w:rFonts w:hint="eastAsia"/>
                <w:color w:val="auto"/>
                <w:szCs w:val="21"/>
                <w:highlight w:val="none"/>
              </w:rPr>
              <w:t>根据突发火灾应急预案，每</w:t>
            </w:r>
            <w:r>
              <w:rPr>
                <w:rFonts w:hint="eastAsia"/>
                <w:color w:val="auto"/>
                <w:szCs w:val="21"/>
                <w:highlight w:val="none"/>
                <w:lang w:eastAsia="zh-CN"/>
              </w:rPr>
              <w:t>半</w:t>
            </w:r>
            <w:r>
              <w:rPr>
                <w:rFonts w:hint="eastAsia"/>
                <w:color w:val="auto"/>
                <w:szCs w:val="21"/>
                <w:highlight w:val="none"/>
              </w:rPr>
              <w:t>年至少举行一次消防演练，并做好演练过程记录资料存档（含照片）。</w:t>
            </w:r>
          </w:p>
        </w:tc>
        <w:tc>
          <w:tcPr>
            <w:tcW w:w="2809" w:type="dxa"/>
            <w:noWrap w:val="0"/>
            <w:vAlign w:val="center"/>
          </w:tcPr>
          <w:p>
            <w:pPr>
              <w:rPr>
                <w:rFonts w:hint="eastAsia"/>
                <w:color w:val="auto"/>
                <w:szCs w:val="21"/>
                <w:highlight w:val="none"/>
              </w:rPr>
            </w:pPr>
            <w:r>
              <w:rPr>
                <w:rFonts w:hint="eastAsia"/>
                <w:color w:val="auto"/>
                <w:szCs w:val="21"/>
                <w:highlight w:val="none"/>
              </w:rPr>
              <w:t>未进行消防演练的，扣5分；有演练但记录不完整的扣1分。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53" w:type="dxa"/>
            <w:vMerge w:val="continue"/>
            <w:shd w:val="clear" w:color="auto" w:fill="auto"/>
            <w:noWrap w:val="0"/>
            <w:vAlign w:val="top"/>
          </w:tcPr>
          <w:p>
            <w:pPr>
              <w:rPr>
                <w:color w:val="auto"/>
                <w:szCs w:val="21"/>
                <w:highlight w:val="none"/>
              </w:rPr>
            </w:pPr>
          </w:p>
        </w:tc>
        <w:tc>
          <w:tcPr>
            <w:tcW w:w="3395"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w:t>
            </w:r>
            <w:r>
              <w:rPr>
                <w:rFonts w:hint="eastAsia"/>
                <w:color w:val="auto"/>
                <w:szCs w:val="21"/>
                <w:highlight w:val="none"/>
              </w:rPr>
              <w:t>三</w:t>
            </w:r>
            <w:r>
              <w:rPr>
                <w:color w:val="auto"/>
                <w:szCs w:val="21"/>
                <w:highlight w:val="none"/>
              </w:rPr>
              <w:t>)给排水系统</w:t>
            </w:r>
          </w:p>
        </w:tc>
        <w:tc>
          <w:tcPr>
            <w:tcW w:w="2809"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　</w:t>
            </w:r>
          </w:p>
        </w:tc>
        <w:tc>
          <w:tcPr>
            <w:tcW w:w="778" w:type="dxa"/>
            <w:vMerge w:val="continue"/>
            <w:shd w:val="clear" w:color="auto" w:fill="D9D9D9"/>
            <w:noWrap w:val="0"/>
            <w:vAlign w:val="top"/>
          </w:tcPr>
          <w:p>
            <w:pPr>
              <w:rPr>
                <w:color w:val="auto"/>
                <w:szCs w:val="21"/>
                <w:highlight w:val="none"/>
              </w:rPr>
            </w:pP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color w:val="auto"/>
                <w:szCs w:val="21"/>
                <w:highlight w:val="none"/>
              </w:rPr>
              <w:t>1、高压水泵、水池、水箱有严格的管理措施</w:t>
            </w:r>
            <w:r>
              <w:rPr>
                <w:rFonts w:hint="eastAsia"/>
                <w:color w:val="auto"/>
                <w:szCs w:val="21"/>
                <w:highlight w:val="none"/>
              </w:rPr>
              <w:t>，每日检查电源系统、控制系统、水泵运转部分的润滑情况， 保证水泵运行稳定、无异响，电源指示无波动，控制箱清洁，开机时盘根滴水不超标，日常检查并做好记录。</w:t>
            </w:r>
          </w:p>
        </w:tc>
        <w:tc>
          <w:tcPr>
            <w:tcW w:w="2809" w:type="dxa"/>
            <w:noWrap w:val="0"/>
            <w:vAlign w:val="center"/>
          </w:tcPr>
          <w:p>
            <w:pPr>
              <w:rPr>
                <w:rFonts w:hint="eastAsia"/>
                <w:color w:val="auto"/>
                <w:szCs w:val="21"/>
                <w:highlight w:val="none"/>
              </w:rPr>
            </w:pPr>
            <w:r>
              <w:rPr>
                <w:rFonts w:hint="eastAsia"/>
                <w:color w:val="auto"/>
                <w:szCs w:val="21"/>
                <w:highlight w:val="none"/>
              </w:rPr>
              <w:t>发现一处不符扣1分。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color w:val="auto"/>
                <w:szCs w:val="21"/>
                <w:highlight w:val="none"/>
              </w:rPr>
              <w:t>2、按规定对二次供水蓄水池设施设备进行清洁、消毒水池、水箱清洁卫生，无二次污染</w:t>
            </w:r>
            <w:r>
              <w:rPr>
                <w:rFonts w:hint="eastAsia"/>
                <w:color w:val="auto"/>
                <w:szCs w:val="21"/>
                <w:highlight w:val="none"/>
              </w:rPr>
              <w:t>，定期办理</w:t>
            </w:r>
            <w:r>
              <w:rPr>
                <w:color w:val="auto"/>
                <w:szCs w:val="21"/>
                <w:highlight w:val="none"/>
              </w:rPr>
              <w:t>二</w:t>
            </w:r>
            <w:r>
              <w:rPr>
                <w:rFonts w:hint="eastAsia"/>
                <w:color w:val="auto"/>
                <w:szCs w:val="21"/>
                <w:highlight w:val="none"/>
              </w:rPr>
              <w:t>次</w:t>
            </w:r>
            <w:r>
              <w:rPr>
                <w:color w:val="auto"/>
                <w:szCs w:val="21"/>
                <w:highlight w:val="none"/>
              </w:rPr>
              <w:t>供水水质化验单</w:t>
            </w:r>
            <w:r>
              <w:rPr>
                <w:rFonts w:hint="eastAsia"/>
                <w:color w:val="auto"/>
                <w:szCs w:val="21"/>
                <w:highlight w:val="none"/>
              </w:rPr>
              <w:t>。</w:t>
            </w:r>
          </w:p>
        </w:tc>
        <w:tc>
          <w:tcPr>
            <w:tcW w:w="2809" w:type="dxa"/>
            <w:noWrap w:val="0"/>
            <w:vAlign w:val="center"/>
          </w:tcPr>
          <w:p>
            <w:pPr>
              <w:rPr>
                <w:rFonts w:hint="eastAsia"/>
                <w:color w:val="auto"/>
                <w:szCs w:val="21"/>
                <w:highlight w:val="none"/>
              </w:rPr>
            </w:pPr>
            <w:r>
              <w:rPr>
                <w:rFonts w:hint="eastAsia"/>
                <w:color w:val="auto"/>
                <w:szCs w:val="21"/>
                <w:highlight w:val="none"/>
              </w:rPr>
              <w:t>未在规定时间内办理</w:t>
            </w:r>
            <w:r>
              <w:rPr>
                <w:color w:val="auto"/>
                <w:szCs w:val="21"/>
                <w:highlight w:val="none"/>
              </w:rPr>
              <w:t>二供水水质化验单</w:t>
            </w:r>
            <w:r>
              <w:rPr>
                <w:rFonts w:hint="eastAsia"/>
                <w:color w:val="auto"/>
                <w:szCs w:val="21"/>
                <w:highlight w:val="none"/>
              </w:rPr>
              <w:t>的扣1分。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color w:val="auto"/>
                <w:szCs w:val="21"/>
                <w:highlight w:val="none"/>
              </w:rPr>
              <w:t>3、</w:t>
            </w:r>
            <w:r>
              <w:rPr>
                <w:rFonts w:hint="eastAsia"/>
                <w:color w:val="auto"/>
                <w:szCs w:val="21"/>
                <w:highlight w:val="none"/>
              </w:rPr>
              <w:t>保持水泵房干净整洁。</w:t>
            </w:r>
          </w:p>
        </w:tc>
        <w:tc>
          <w:tcPr>
            <w:tcW w:w="2809" w:type="dxa"/>
            <w:noWrap w:val="0"/>
            <w:vAlign w:val="center"/>
          </w:tcPr>
          <w:p>
            <w:pPr>
              <w:rPr>
                <w:rFonts w:hint="eastAsia"/>
                <w:color w:val="auto"/>
                <w:szCs w:val="21"/>
                <w:highlight w:val="none"/>
              </w:rPr>
            </w:pPr>
            <w:r>
              <w:rPr>
                <w:rFonts w:hint="eastAsia"/>
                <w:color w:val="auto"/>
                <w:szCs w:val="21"/>
                <w:highlight w:val="none"/>
              </w:rPr>
              <w:t>发现一处不符合扣1分。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53" w:type="dxa"/>
            <w:vMerge w:val="continue"/>
            <w:shd w:val="clear" w:color="auto" w:fill="auto"/>
            <w:noWrap w:val="0"/>
            <w:vAlign w:val="top"/>
          </w:tcPr>
          <w:p>
            <w:pPr>
              <w:rPr>
                <w:color w:val="auto"/>
                <w:szCs w:val="21"/>
                <w:highlight w:val="none"/>
              </w:rPr>
            </w:pPr>
          </w:p>
        </w:tc>
        <w:tc>
          <w:tcPr>
            <w:tcW w:w="3395" w:type="dxa"/>
            <w:shd w:val="clear" w:color="auto" w:fill="D9D9D9"/>
            <w:noWrap w:val="0"/>
            <w:vAlign w:val="center"/>
          </w:tcPr>
          <w:p>
            <w:pPr>
              <w:rPr>
                <w:color w:val="auto"/>
                <w:szCs w:val="21"/>
                <w:highlight w:val="none"/>
              </w:rPr>
            </w:pPr>
            <w:r>
              <w:rPr>
                <w:color w:val="auto"/>
                <w:szCs w:val="21"/>
                <w:highlight w:val="none"/>
              </w:rPr>
              <w:t>(</w:t>
            </w:r>
            <w:r>
              <w:rPr>
                <w:rFonts w:hint="eastAsia"/>
                <w:color w:val="auto"/>
                <w:szCs w:val="21"/>
                <w:highlight w:val="none"/>
              </w:rPr>
              <w:t>四</w:t>
            </w:r>
            <w:r>
              <w:rPr>
                <w:color w:val="auto"/>
                <w:szCs w:val="21"/>
                <w:highlight w:val="none"/>
              </w:rPr>
              <w:t>)电梯系统</w:t>
            </w:r>
          </w:p>
        </w:tc>
        <w:tc>
          <w:tcPr>
            <w:tcW w:w="2809" w:type="dxa"/>
            <w:shd w:val="clear" w:color="auto" w:fill="D9D9D9"/>
            <w:noWrap w:val="0"/>
            <w:vAlign w:val="center"/>
          </w:tcPr>
          <w:p>
            <w:pPr>
              <w:rPr>
                <w:color w:val="auto"/>
                <w:szCs w:val="21"/>
                <w:highlight w:val="none"/>
              </w:rPr>
            </w:pPr>
            <w:r>
              <w:rPr>
                <w:color w:val="auto"/>
                <w:szCs w:val="21"/>
                <w:highlight w:val="none"/>
              </w:rPr>
              <w:t>　</w:t>
            </w:r>
          </w:p>
        </w:tc>
        <w:tc>
          <w:tcPr>
            <w:tcW w:w="778" w:type="dxa"/>
            <w:vMerge w:val="continue"/>
            <w:shd w:val="clear" w:color="auto" w:fill="D9D9D9"/>
            <w:noWrap w:val="0"/>
            <w:vAlign w:val="top"/>
          </w:tcPr>
          <w:p>
            <w:pPr>
              <w:rPr>
                <w:color w:val="auto"/>
                <w:szCs w:val="21"/>
                <w:highlight w:val="none"/>
              </w:rPr>
            </w:pPr>
          </w:p>
        </w:tc>
        <w:tc>
          <w:tcPr>
            <w:tcW w:w="1077" w:type="dxa"/>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color w:val="auto"/>
                <w:szCs w:val="21"/>
                <w:highlight w:val="none"/>
              </w:rPr>
              <w:t>1、电梯准用证、年检合格证</w:t>
            </w:r>
            <w:r>
              <w:rPr>
                <w:rFonts w:hint="eastAsia"/>
                <w:color w:val="auto"/>
                <w:szCs w:val="21"/>
                <w:highlight w:val="none"/>
              </w:rPr>
              <w:t>跟踪办理。</w:t>
            </w:r>
          </w:p>
        </w:tc>
        <w:tc>
          <w:tcPr>
            <w:tcW w:w="2809" w:type="dxa"/>
            <w:noWrap w:val="0"/>
            <w:vAlign w:val="center"/>
          </w:tcPr>
          <w:p>
            <w:pPr>
              <w:rPr>
                <w:rFonts w:hint="eastAsia"/>
                <w:color w:val="auto"/>
                <w:szCs w:val="21"/>
                <w:highlight w:val="none"/>
              </w:rPr>
            </w:pPr>
            <w:r>
              <w:rPr>
                <w:rFonts w:hint="eastAsia"/>
                <w:color w:val="auto"/>
                <w:szCs w:val="21"/>
                <w:highlight w:val="none"/>
              </w:rPr>
              <w:t>未提前办理，因物业方面原因导致发证推迟的一经发现扣1分。</w:t>
            </w:r>
          </w:p>
          <w:p>
            <w:pPr>
              <w:rPr>
                <w:rFonts w:hint="eastAsia"/>
                <w:color w:val="auto"/>
                <w:szCs w:val="21"/>
                <w:highlight w:val="none"/>
              </w:rPr>
            </w:pP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color w:val="auto"/>
                <w:szCs w:val="21"/>
                <w:highlight w:val="none"/>
              </w:rPr>
              <w:t>2、电梯按规定时间运行，安全设施齐全，通风、照明及附属设施完好，轿厢、</w:t>
            </w:r>
            <w:r>
              <w:rPr>
                <w:rFonts w:hint="eastAsia"/>
                <w:color w:val="auto"/>
                <w:szCs w:val="21"/>
                <w:highlight w:val="none"/>
              </w:rPr>
              <w:t>井</w:t>
            </w:r>
            <w:r>
              <w:rPr>
                <w:color w:val="auto"/>
                <w:szCs w:val="21"/>
                <w:highlight w:val="none"/>
              </w:rPr>
              <w:t>道、机房保持整洁</w:t>
            </w:r>
            <w:r>
              <w:rPr>
                <w:rFonts w:hint="eastAsia"/>
                <w:color w:val="auto"/>
                <w:szCs w:val="21"/>
                <w:highlight w:val="none"/>
              </w:rPr>
              <w:t>，电梯轿厢</w:t>
            </w:r>
            <w:r>
              <w:rPr>
                <w:rFonts w:hint="eastAsia"/>
                <w:color w:val="auto"/>
                <w:szCs w:val="21"/>
                <w:highlight w:val="none"/>
                <w:lang w:eastAsia="zh-CN"/>
              </w:rPr>
              <w:t>保持洁净</w:t>
            </w:r>
            <w:r>
              <w:rPr>
                <w:rFonts w:hint="eastAsia"/>
                <w:color w:val="auto"/>
                <w:szCs w:val="21"/>
                <w:highlight w:val="none"/>
              </w:rPr>
              <w:t>。</w:t>
            </w:r>
          </w:p>
        </w:tc>
        <w:tc>
          <w:tcPr>
            <w:tcW w:w="2809" w:type="dxa"/>
            <w:noWrap w:val="0"/>
            <w:vAlign w:val="center"/>
          </w:tcPr>
          <w:p>
            <w:pPr>
              <w:rPr>
                <w:rFonts w:hint="eastAsia"/>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3</w:t>
            </w:r>
            <w:r>
              <w:rPr>
                <w:color w:val="auto"/>
                <w:szCs w:val="21"/>
                <w:highlight w:val="none"/>
              </w:rPr>
              <w:t>、运行出现故障后，</w:t>
            </w:r>
            <w:r>
              <w:rPr>
                <w:rFonts w:hint="eastAsia"/>
                <w:color w:val="auto"/>
                <w:szCs w:val="21"/>
                <w:highlight w:val="none"/>
              </w:rPr>
              <w:t>物业工作</w:t>
            </w:r>
            <w:r>
              <w:rPr>
                <w:color w:val="auto"/>
                <w:szCs w:val="21"/>
                <w:highlight w:val="none"/>
              </w:rPr>
              <w:t>人员应在</w:t>
            </w:r>
            <w:r>
              <w:rPr>
                <w:rFonts w:hint="eastAsia"/>
                <w:color w:val="auto"/>
                <w:szCs w:val="21"/>
                <w:highlight w:val="none"/>
              </w:rPr>
              <w:t>5分钟</w:t>
            </w:r>
            <w:r>
              <w:rPr>
                <w:color w:val="auto"/>
                <w:szCs w:val="21"/>
                <w:highlight w:val="none"/>
              </w:rPr>
              <w:t>内到达</w:t>
            </w:r>
            <w:r>
              <w:rPr>
                <w:rFonts w:hint="eastAsia"/>
                <w:color w:val="auto"/>
                <w:szCs w:val="21"/>
                <w:highlight w:val="none"/>
              </w:rPr>
              <w:t>故障</w:t>
            </w:r>
            <w:r>
              <w:rPr>
                <w:color w:val="auto"/>
                <w:szCs w:val="21"/>
                <w:highlight w:val="none"/>
              </w:rPr>
              <w:t>现场</w:t>
            </w:r>
            <w:r>
              <w:rPr>
                <w:rFonts w:hint="eastAsia"/>
                <w:color w:val="auto"/>
                <w:szCs w:val="21"/>
                <w:highlight w:val="none"/>
              </w:rPr>
              <w:t>，并立即联系电梯维保单位到场维修。</w:t>
            </w:r>
          </w:p>
        </w:tc>
        <w:tc>
          <w:tcPr>
            <w:tcW w:w="2809" w:type="dxa"/>
            <w:noWrap w:val="0"/>
            <w:vAlign w:val="center"/>
          </w:tcPr>
          <w:p>
            <w:pPr>
              <w:rPr>
                <w:rFonts w:hint="eastAsia"/>
                <w:color w:val="auto"/>
                <w:szCs w:val="21"/>
                <w:highlight w:val="none"/>
              </w:rPr>
            </w:pPr>
            <w:r>
              <w:rPr>
                <w:rFonts w:hint="eastAsia"/>
                <w:color w:val="auto"/>
                <w:szCs w:val="21"/>
                <w:highlight w:val="none"/>
              </w:rPr>
              <w:t>没有按规定时间内到现场的扣1分。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3" w:type="dxa"/>
            <w:vMerge w:val="continue"/>
            <w:shd w:val="clear" w:color="auto" w:fill="auto"/>
            <w:noWrap w:val="0"/>
            <w:vAlign w:val="top"/>
          </w:tcPr>
          <w:p>
            <w:pPr>
              <w:rPr>
                <w:color w:val="auto"/>
                <w:szCs w:val="21"/>
                <w:highlight w:val="none"/>
              </w:rPr>
            </w:pPr>
          </w:p>
        </w:tc>
        <w:tc>
          <w:tcPr>
            <w:tcW w:w="3395" w:type="dxa"/>
            <w:shd w:val="clear" w:color="auto" w:fill="D9D9D9"/>
            <w:noWrap w:val="0"/>
            <w:vAlign w:val="center"/>
          </w:tcPr>
          <w:p>
            <w:pPr>
              <w:rPr>
                <w:color w:val="auto"/>
                <w:szCs w:val="21"/>
                <w:highlight w:val="none"/>
              </w:rPr>
            </w:pPr>
            <w:r>
              <w:rPr>
                <w:color w:val="auto"/>
                <w:szCs w:val="21"/>
                <w:highlight w:val="none"/>
              </w:rPr>
              <w:t>(</w:t>
            </w:r>
            <w:r>
              <w:rPr>
                <w:rFonts w:hint="eastAsia"/>
                <w:color w:val="auto"/>
                <w:szCs w:val="21"/>
                <w:highlight w:val="none"/>
              </w:rPr>
              <w:t>五</w:t>
            </w:r>
            <w:r>
              <w:rPr>
                <w:color w:val="auto"/>
                <w:szCs w:val="21"/>
                <w:highlight w:val="none"/>
              </w:rPr>
              <w:t>)空调系统</w:t>
            </w:r>
          </w:p>
        </w:tc>
        <w:tc>
          <w:tcPr>
            <w:tcW w:w="2809" w:type="dxa"/>
            <w:shd w:val="clear" w:color="auto" w:fill="D9D9D9"/>
            <w:noWrap w:val="0"/>
            <w:vAlign w:val="center"/>
          </w:tcPr>
          <w:p>
            <w:pPr>
              <w:rPr>
                <w:color w:val="auto"/>
                <w:szCs w:val="21"/>
                <w:highlight w:val="none"/>
              </w:rPr>
            </w:pPr>
            <w:r>
              <w:rPr>
                <w:color w:val="auto"/>
                <w:szCs w:val="21"/>
                <w:highlight w:val="none"/>
              </w:rPr>
              <w:t>　</w:t>
            </w:r>
          </w:p>
        </w:tc>
        <w:tc>
          <w:tcPr>
            <w:tcW w:w="778" w:type="dxa"/>
            <w:vMerge w:val="continue"/>
            <w:shd w:val="clear" w:color="auto" w:fill="D9D9D9"/>
            <w:noWrap w:val="0"/>
            <w:vAlign w:val="top"/>
          </w:tcPr>
          <w:p>
            <w:pPr>
              <w:rPr>
                <w:color w:val="auto"/>
                <w:szCs w:val="21"/>
                <w:highlight w:val="none"/>
              </w:rPr>
            </w:pPr>
          </w:p>
        </w:tc>
        <w:tc>
          <w:tcPr>
            <w:tcW w:w="1077" w:type="dxa"/>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color w:val="auto"/>
                <w:szCs w:val="21"/>
                <w:highlight w:val="none"/>
              </w:rPr>
              <w:t>1、中央空调系统运行正常，</w:t>
            </w:r>
            <w:r>
              <w:rPr>
                <w:rFonts w:hint="eastAsia"/>
                <w:color w:val="auto"/>
                <w:szCs w:val="21"/>
                <w:highlight w:val="none"/>
              </w:rPr>
              <w:t>水泵电机</w:t>
            </w:r>
            <w:r>
              <w:rPr>
                <w:color w:val="auto"/>
                <w:szCs w:val="21"/>
                <w:highlight w:val="none"/>
              </w:rPr>
              <w:t>运行正常且噪音不超标， 无滴漏水现象</w:t>
            </w:r>
            <w:r>
              <w:rPr>
                <w:rFonts w:hint="eastAsia"/>
                <w:color w:val="auto"/>
                <w:szCs w:val="21"/>
                <w:highlight w:val="none"/>
              </w:rPr>
              <w:t>，做好中央空调机组卫生清洁。</w:t>
            </w:r>
          </w:p>
        </w:tc>
        <w:tc>
          <w:tcPr>
            <w:tcW w:w="2809" w:type="dxa"/>
            <w:noWrap w:val="0"/>
            <w:vAlign w:val="center"/>
          </w:tcPr>
          <w:p>
            <w:pPr>
              <w:rPr>
                <w:rFonts w:hint="eastAsia"/>
                <w:color w:val="auto"/>
                <w:szCs w:val="21"/>
                <w:highlight w:val="none"/>
              </w:rPr>
            </w:pPr>
            <w:r>
              <w:rPr>
                <w:rFonts w:hint="eastAsia"/>
                <w:color w:val="auto"/>
                <w:szCs w:val="21"/>
                <w:highlight w:val="none"/>
              </w:rPr>
              <w:t>不符合扣1分。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2</w:t>
            </w:r>
            <w:r>
              <w:rPr>
                <w:color w:val="auto"/>
                <w:szCs w:val="21"/>
                <w:highlight w:val="none"/>
              </w:rPr>
              <w:t>、</w:t>
            </w:r>
            <w:r>
              <w:rPr>
                <w:rFonts w:hint="eastAsia"/>
                <w:color w:val="auto"/>
                <w:szCs w:val="21"/>
                <w:highlight w:val="none"/>
              </w:rPr>
              <w:t>冬夏季来临之前，为保证中央空调正常运行，应提前检查，对发现问题及时上报维修。</w:t>
            </w:r>
          </w:p>
        </w:tc>
        <w:tc>
          <w:tcPr>
            <w:tcW w:w="2809" w:type="dxa"/>
            <w:noWrap w:val="0"/>
            <w:vAlign w:val="center"/>
          </w:tcPr>
          <w:p>
            <w:pPr>
              <w:rPr>
                <w:rFonts w:hint="eastAsia"/>
                <w:color w:val="auto"/>
                <w:szCs w:val="21"/>
                <w:highlight w:val="none"/>
              </w:rPr>
            </w:pPr>
            <w:r>
              <w:rPr>
                <w:rFonts w:hint="eastAsia"/>
                <w:color w:val="auto"/>
                <w:szCs w:val="21"/>
                <w:highlight w:val="none"/>
              </w:rPr>
              <w:t>没有提前检查导致无法正常使用的，扣3分。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53" w:type="dxa"/>
            <w:vMerge w:val="restart"/>
            <w:shd w:val="clear" w:color="auto" w:fill="auto"/>
            <w:noWrap w:val="0"/>
            <w:vAlign w:val="center"/>
          </w:tcPr>
          <w:p>
            <w:pPr>
              <w:rPr>
                <w:rFonts w:hint="eastAsia"/>
                <w:color w:val="auto"/>
                <w:szCs w:val="21"/>
                <w:highlight w:val="none"/>
              </w:rPr>
            </w:pPr>
            <w:r>
              <w:rPr>
                <w:rFonts w:hint="eastAsia"/>
                <w:color w:val="auto"/>
                <w:szCs w:val="21"/>
                <w:highlight w:val="none"/>
              </w:rPr>
              <w:t>四房屋管理与维修养护</w:t>
            </w:r>
          </w:p>
        </w:tc>
        <w:tc>
          <w:tcPr>
            <w:tcW w:w="3395"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房屋管理与维修养护</w:t>
            </w:r>
          </w:p>
        </w:tc>
        <w:tc>
          <w:tcPr>
            <w:tcW w:w="2809"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　</w:t>
            </w:r>
          </w:p>
        </w:tc>
        <w:tc>
          <w:tcPr>
            <w:tcW w:w="778" w:type="dxa"/>
            <w:tcBorders>
              <w:bottom w:val="single" w:color="auto" w:sz="4" w:space="0"/>
            </w:tcBorders>
            <w:shd w:val="clear" w:color="auto" w:fill="D9D9D9"/>
            <w:noWrap w:val="0"/>
            <w:vAlign w:val="top"/>
          </w:tcPr>
          <w:p>
            <w:pPr>
              <w:rPr>
                <w:color w:val="auto"/>
                <w:szCs w:val="21"/>
                <w:highlight w:val="none"/>
              </w:rPr>
            </w:pP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53" w:type="dxa"/>
            <w:vMerge w:val="continue"/>
            <w:noWrap w:val="0"/>
            <w:vAlign w:val="center"/>
          </w:tcPr>
          <w:p>
            <w:pPr>
              <w:rPr>
                <w:rFonts w:hint="eastAsia"/>
                <w:color w:val="auto"/>
                <w:szCs w:val="21"/>
                <w:highlight w:val="none"/>
              </w:rPr>
            </w:pPr>
          </w:p>
        </w:tc>
        <w:tc>
          <w:tcPr>
            <w:tcW w:w="3395" w:type="dxa"/>
            <w:tcBorders>
              <w:bottom w:val="single" w:color="auto" w:sz="4" w:space="0"/>
            </w:tcBorders>
            <w:noWrap w:val="0"/>
            <w:vAlign w:val="center"/>
          </w:tcPr>
          <w:p>
            <w:pPr>
              <w:rPr>
                <w:color w:val="auto"/>
                <w:szCs w:val="21"/>
                <w:highlight w:val="none"/>
              </w:rPr>
            </w:pPr>
            <w:r>
              <w:rPr>
                <w:color w:val="auto"/>
                <w:szCs w:val="21"/>
                <w:highlight w:val="none"/>
              </w:rPr>
              <w:t>1、</w:t>
            </w:r>
            <w:r>
              <w:rPr>
                <w:rFonts w:hint="eastAsia"/>
                <w:color w:val="auto"/>
                <w:szCs w:val="21"/>
                <w:highlight w:val="none"/>
              </w:rPr>
              <w:t>物业管理辖</w:t>
            </w:r>
            <w:r>
              <w:rPr>
                <w:color w:val="auto"/>
                <w:szCs w:val="21"/>
                <w:highlight w:val="none"/>
              </w:rPr>
              <w:t>区内各建筑物标志明显、设立引路方向平面图和路标、单位名录标识在区内明显位置铭牌及各类标识牌统一有序</w:t>
            </w:r>
            <w:r>
              <w:rPr>
                <w:rFonts w:hint="eastAsia"/>
                <w:color w:val="auto"/>
                <w:szCs w:val="21"/>
                <w:highlight w:val="none"/>
              </w:rPr>
              <w:t>。</w:t>
            </w:r>
          </w:p>
        </w:tc>
        <w:tc>
          <w:tcPr>
            <w:tcW w:w="2809" w:type="dxa"/>
            <w:tcBorders>
              <w:bottom w:val="single" w:color="auto" w:sz="4" w:space="0"/>
            </w:tcBorders>
            <w:noWrap w:val="0"/>
            <w:vAlign w:val="center"/>
          </w:tcPr>
          <w:p>
            <w:pPr>
              <w:rPr>
                <w:rFonts w:hint="eastAsia"/>
                <w:color w:val="auto"/>
                <w:szCs w:val="21"/>
                <w:highlight w:val="none"/>
              </w:rPr>
            </w:pPr>
            <w:r>
              <w:rPr>
                <w:color w:val="auto"/>
                <w:szCs w:val="21"/>
                <w:highlight w:val="none"/>
              </w:rPr>
              <w:t>发现一处标志不清或没有标志扣</w:t>
            </w:r>
            <w:r>
              <w:rPr>
                <w:rFonts w:hint="eastAsia"/>
                <w:color w:val="auto"/>
                <w:szCs w:val="21"/>
                <w:highlight w:val="none"/>
              </w:rPr>
              <w:t>1分。</w:t>
            </w:r>
          </w:p>
        </w:tc>
        <w:tc>
          <w:tcPr>
            <w:tcW w:w="778" w:type="dxa"/>
            <w:vMerge w:val="restart"/>
            <w:noWrap w:val="0"/>
            <w:vAlign w:val="center"/>
          </w:tcPr>
          <w:p>
            <w:pPr>
              <w:rPr>
                <w:rFonts w:hint="eastAsia"/>
                <w:color w:val="auto"/>
                <w:szCs w:val="21"/>
                <w:highlight w:val="none"/>
              </w:rPr>
            </w:pPr>
            <w:r>
              <w:rPr>
                <w:rFonts w:hint="eastAsia"/>
                <w:color w:val="auto"/>
                <w:szCs w:val="21"/>
                <w:highlight w:val="none"/>
              </w:rPr>
              <w:t>10</w:t>
            </w:r>
          </w:p>
        </w:tc>
        <w:tc>
          <w:tcPr>
            <w:tcW w:w="1077" w:type="dxa"/>
            <w:tcBorders>
              <w:bottom w:val="single" w:color="auto" w:sz="4" w:space="0"/>
            </w:tcBorders>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53" w:type="dxa"/>
            <w:vMerge w:val="continue"/>
            <w:noWrap w:val="0"/>
            <w:vAlign w:val="center"/>
          </w:tcPr>
          <w:p>
            <w:pPr>
              <w:rPr>
                <w:rFonts w:hint="eastAsia"/>
                <w:color w:val="auto"/>
                <w:szCs w:val="21"/>
                <w:highlight w:val="none"/>
              </w:rPr>
            </w:pPr>
          </w:p>
        </w:tc>
        <w:tc>
          <w:tcPr>
            <w:tcW w:w="3395" w:type="dxa"/>
            <w:tcBorders>
              <w:bottom w:val="single" w:color="auto" w:sz="4" w:space="0"/>
            </w:tcBorders>
            <w:noWrap w:val="0"/>
            <w:vAlign w:val="center"/>
          </w:tcPr>
          <w:p>
            <w:pPr>
              <w:rPr>
                <w:color w:val="auto"/>
                <w:szCs w:val="21"/>
                <w:highlight w:val="none"/>
              </w:rPr>
            </w:pPr>
            <w:r>
              <w:rPr>
                <w:color w:val="auto"/>
                <w:szCs w:val="21"/>
                <w:highlight w:val="none"/>
              </w:rPr>
              <w:t>2、无违反规划私搭乱建，无擅自改变房屋用途现象</w:t>
            </w:r>
            <w:r>
              <w:rPr>
                <w:rFonts w:hint="eastAsia"/>
                <w:color w:val="auto"/>
                <w:szCs w:val="21"/>
                <w:highlight w:val="none"/>
              </w:rPr>
              <w:t>。</w:t>
            </w:r>
          </w:p>
        </w:tc>
        <w:tc>
          <w:tcPr>
            <w:tcW w:w="2809" w:type="dxa"/>
            <w:tcBorders>
              <w:bottom w:val="single" w:color="auto" w:sz="4" w:space="0"/>
            </w:tcBorders>
            <w:noWrap w:val="0"/>
            <w:vAlign w:val="center"/>
          </w:tcPr>
          <w:p>
            <w:pPr>
              <w:rPr>
                <w:rFonts w:hint="eastAsia"/>
                <w:color w:val="auto"/>
                <w:szCs w:val="21"/>
                <w:highlight w:val="none"/>
              </w:rPr>
            </w:pPr>
            <w:r>
              <w:rPr>
                <w:color w:val="auto"/>
                <w:szCs w:val="21"/>
                <w:highlight w:val="none"/>
              </w:rPr>
              <w:t>每发现</w:t>
            </w:r>
            <w:r>
              <w:rPr>
                <w:rFonts w:hint="eastAsia"/>
                <w:color w:val="auto"/>
                <w:szCs w:val="21"/>
                <w:highlight w:val="none"/>
              </w:rPr>
              <w:t>一</w:t>
            </w:r>
            <w:r>
              <w:rPr>
                <w:color w:val="auto"/>
                <w:szCs w:val="21"/>
                <w:highlight w:val="none"/>
              </w:rPr>
              <w:t>处</w:t>
            </w:r>
            <w:r>
              <w:rPr>
                <w:rFonts w:hint="eastAsia"/>
                <w:color w:val="auto"/>
                <w:szCs w:val="21"/>
                <w:highlight w:val="none"/>
              </w:rPr>
              <w:t>任一单位</w:t>
            </w:r>
            <w:r>
              <w:rPr>
                <w:color w:val="auto"/>
                <w:szCs w:val="21"/>
                <w:highlight w:val="none"/>
              </w:rPr>
              <w:t>私</w:t>
            </w:r>
            <w:r>
              <w:rPr>
                <w:rFonts w:hint="eastAsia"/>
                <w:color w:val="auto"/>
                <w:szCs w:val="21"/>
                <w:highlight w:val="none"/>
              </w:rPr>
              <w:t>搭</w:t>
            </w:r>
            <w:r>
              <w:rPr>
                <w:color w:val="auto"/>
                <w:szCs w:val="21"/>
                <w:highlight w:val="none"/>
              </w:rPr>
              <w:t>乱建或擅自改变房屋使用用途扣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tcBorders>
              <w:bottom w:val="single" w:color="auto" w:sz="4" w:space="0"/>
            </w:tcBorders>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53" w:type="dxa"/>
            <w:vMerge w:val="continue"/>
            <w:noWrap w:val="0"/>
            <w:vAlign w:val="center"/>
          </w:tcPr>
          <w:p>
            <w:pPr>
              <w:rPr>
                <w:rFonts w:hint="eastAsia"/>
                <w:color w:val="auto"/>
                <w:szCs w:val="21"/>
                <w:highlight w:val="none"/>
              </w:rPr>
            </w:pPr>
          </w:p>
        </w:tc>
        <w:tc>
          <w:tcPr>
            <w:tcW w:w="3395"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3</w:t>
            </w:r>
            <w:r>
              <w:rPr>
                <w:color w:val="auto"/>
                <w:szCs w:val="21"/>
                <w:highlight w:val="none"/>
              </w:rPr>
              <w:t>、墙体整洁，无乱张贴；共用部位门窗、灯具、开关等功能良好；卫生间、水房</w:t>
            </w:r>
            <w:r>
              <w:rPr>
                <w:rFonts w:hint="eastAsia"/>
                <w:color w:val="auto"/>
                <w:szCs w:val="21"/>
                <w:highlight w:val="none"/>
              </w:rPr>
              <w:t>、电梯</w:t>
            </w:r>
            <w:r>
              <w:rPr>
                <w:color w:val="auto"/>
                <w:szCs w:val="21"/>
                <w:highlight w:val="none"/>
              </w:rPr>
              <w:t>等管理完好</w:t>
            </w:r>
            <w:r>
              <w:rPr>
                <w:rFonts w:hint="eastAsia"/>
                <w:color w:val="auto"/>
                <w:szCs w:val="21"/>
                <w:highlight w:val="none"/>
              </w:rPr>
              <w:t>，维修工必须做好日常设备维修工作，接到报修应10分钟内到达现场</w:t>
            </w:r>
            <w:r>
              <w:rPr>
                <w:rFonts w:hint="eastAsia"/>
                <w:color w:val="auto"/>
                <w:szCs w:val="21"/>
                <w:highlight w:val="none"/>
                <w:lang w:eastAsia="zh-CN"/>
              </w:rPr>
              <w:t>，及时做好维修工作</w:t>
            </w:r>
            <w:r>
              <w:rPr>
                <w:rFonts w:hint="eastAsia"/>
                <w:color w:val="auto"/>
                <w:szCs w:val="21"/>
                <w:highlight w:val="none"/>
              </w:rPr>
              <w:t>。</w:t>
            </w:r>
          </w:p>
        </w:tc>
        <w:tc>
          <w:tcPr>
            <w:tcW w:w="2809"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lang w:eastAsia="zh-CN"/>
              </w:rPr>
              <w:t>检查发现公共部分有损坏未维修到位的</w:t>
            </w:r>
            <w:r>
              <w:rPr>
                <w:color w:val="auto"/>
                <w:szCs w:val="21"/>
                <w:highlight w:val="none"/>
              </w:rPr>
              <w:t>扣</w:t>
            </w:r>
            <w:r>
              <w:rPr>
                <w:rFonts w:hint="eastAsia"/>
                <w:color w:val="auto"/>
                <w:szCs w:val="21"/>
                <w:highlight w:val="none"/>
              </w:rPr>
              <w:t>1分，维修记录不完整扣2分。</w:t>
            </w:r>
          </w:p>
        </w:tc>
        <w:tc>
          <w:tcPr>
            <w:tcW w:w="778" w:type="dxa"/>
            <w:vMerge w:val="continue"/>
            <w:tcBorders>
              <w:bottom w:val="single" w:color="auto" w:sz="4" w:space="0"/>
            </w:tcBorders>
            <w:noWrap w:val="0"/>
            <w:vAlign w:val="top"/>
          </w:tcPr>
          <w:p>
            <w:pPr>
              <w:rPr>
                <w:color w:val="auto"/>
                <w:szCs w:val="21"/>
                <w:highlight w:val="none"/>
              </w:rPr>
            </w:pPr>
          </w:p>
        </w:tc>
        <w:tc>
          <w:tcPr>
            <w:tcW w:w="1077" w:type="dxa"/>
            <w:tcBorders>
              <w:bottom w:val="single" w:color="auto" w:sz="4" w:space="0"/>
            </w:tcBorders>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53" w:type="dxa"/>
            <w:vMerge w:val="restart"/>
            <w:shd w:val="clear" w:color="auto" w:fill="auto"/>
            <w:noWrap w:val="0"/>
            <w:vAlign w:val="center"/>
          </w:tcPr>
          <w:p>
            <w:pPr>
              <w:rPr>
                <w:rFonts w:hint="eastAsia"/>
                <w:color w:val="auto"/>
                <w:szCs w:val="21"/>
                <w:highlight w:val="none"/>
              </w:rPr>
            </w:pPr>
            <w:r>
              <w:rPr>
                <w:rFonts w:hint="eastAsia"/>
                <w:color w:val="auto"/>
                <w:szCs w:val="21"/>
                <w:highlight w:val="none"/>
              </w:rPr>
              <w:t>五</w:t>
            </w:r>
          </w:p>
          <w:p>
            <w:pPr>
              <w:rPr>
                <w:rFonts w:hint="eastAsia"/>
                <w:color w:val="auto"/>
                <w:szCs w:val="21"/>
                <w:highlight w:val="none"/>
              </w:rPr>
            </w:pPr>
            <w:r>
              <w:rPr>
                <w:rFonts w:hint="eastAsia"/>
                <w:color w:val="auto"/>
                <w:szCs w:val="21"/>
                <w:highlight w:val="none"/>
              </w:rPr>
              <w:t>会务管理</w:t>
            </w:r>
          </w:p>
          <w:p>
            <w:pPr>
              <w:rPr>
                <w:rFonts w:hint="eastAsia"/>
                <w:color w:val="auto"/>
                <w:szCs w:val="21"/>
                <w:highlight w:val="none"/>
              </w:rPr>
            </w:pPr>
          </w:p>
        </w:tc>
        <w:tc>
          <w:tcPr>
            <w:tcW w:w="3395" w:type="dxa"/>
            <w:tcBorders>
              <w:bottom w:val="single" w:color="auto" w:sz="4" w:space="0"/>
            </w:tcBorders>
            <w:shd w:val="clear" w:color="auto" w:fill="D9D9D9"/>
            <w:noWrap w:val="0"/>
            <w:vAlign w:val="center"/>
          </w:tcPr>
          <w:p>
            <w:pPr>
              <w:rPr>
                <w:rFonts w:hint="eastAsia"/>
                <w:color w:val="auto"/>
                <w:szCs w:val="21"/>
                <w:highlight w:val="none"/>
              </w:rPr>
            </w:pPr>
            <w:r>
              <w:rPr>
                <w:rFonts w:hint="eastAsia"/>
                <w:color w:val="auto"/>
                <w:szCs w:val="21"/>
                <w:highlight w:val="none"/>
              </w:rPr>
              <w:t>会务管理</w:t>
            </w:r>
          </w:p>
        </w:tc>
        <w:tc>
          <w:tcPr>
            <w:tcW w:w="2809" w:type="dxa"/>
            <w:tcBorders>
              <w:bottom w:val="single" w:color="auto" w:sz="4" w:space="0"/>
            </w:tcBorders>
            <w:shd w:val="clear" w:color="auto" w:fill="D9D9D9"/>
            <w:noWrap w:val="0"/>
            <w:vAlign w:val="center"/>
          </w:tcPr>
          <w:p>
            <w:pPr>
              <w:rPr>
                <w:color w:val="auto"/>
                <w:szCs w:val="21"/>
                <w:highlight w:val="none"/>
              </w:rPr>
            </w:pPr>
          </w:p>
        </w:tc>
        <w:tc>
          <w:tcPr>
            <w:tcW w:w="778" w:type="dxa"/>
            <w:tcBorders>
              <w:bottom w:val="single" w:color="auto" w:sz="4" w:space="0"/>
            </w:tcBorders>
            <w:shd w:val="clear" w:color="auto" w:fill="D9D9D9"/>
            <w:noWrap w:val="0"/>
            <w:vAlign w:val="top"/>
          </w:tcPr>
          <w:p>
            <w:pPr>
              <w:rPr>
                <w:color w:val="auto"/>
                <w:szCs w:val="21"/>
                <w:highlight w:val="none"/>
              </w:rPr>
            </w:pP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eastAsia="宋体"/>
                <w:color w:val="auto"/>
                <w:szCs w:val="21"/>
                <w:highlight w:val="none"/>
                <w:lang w:val="en-US" w:eastAsia="zh-CN"/>
              </w:rPr>
            </w:pPr>
            <w:r>
              <w:rPr>
                <w:rFonts w:hint="eastAsia"/>
                <w:color w:val="auto"/>
                <w:szCs w:val="21"/>
                <w:highlight w:val="none"/>
                <w:lang w:val="en-US" w:eastAsia="zh-CN"/>
              </w:rPr>
              <w:t>1、会务人员统一制服，穿戴整齐，礼貌待人，着黑色无声响鞋子，会场内手机静音，不影响会议。</w:t>
            </w:r>
          </w:p>
        </w:tc>
        <w:tc>
          <w:tcPr>
            <w:tcW w:w="2809" w:type="dxa"/>
            <w:noWrap w:val="0"/>
            <w:vAlign w:val="center"/>
          </w:tcPr>
          <w:p>
            <w:pPr>
              <w:rPr>
                <w:rFonts w:hint="eastAsia"/>
                <w:color w:val="auto"/>
                <w:szCs w:val="21"/>
                <w:highlight w:val="none"/>
              </w:rPr>
            </w:pPr>
            <w:r>
              <w:rPr>
                <w:rFonts w:hint="eastAsia"/>
                <w:color w:val="auto"/>
                <w:szCs w:val="21"/>
                <w:highlight w:val="none"/>
                <w:lang w:eastAsia="zh-CN"/>
              </w:rPr>
              <w:t>发现一次</w:t>
            </w:r>
            <w:r>
              <w:rPr>
                <w:rFonts w:hint="eastAsia"/>
                <w:color w:val="auto"/>
                <w:szCs w:val="21"/>
                <w:highlight w:val="none"/>
              </w:rPr>
              <w:t>不符合扣1分</w:t>
            </w:r>
            <w:r>
              <w:rPr>
                <w:rFonts w:hint="eastAsia"/>
                <w:color w:val="auto"/>
                <w:szCs w:val="21"/>
                <w:highlight w:val="none"/>
                <w:lang w:eastAsia="zh-CN"/>
              </w:rPr>
              <w:t>；会议中手机铃声响起发现一次扣</w:t>
            </w:r>
            <w:r>
              <w:rPr>
                <w:rFonts w:hint="eastAsia"/>
                <w:color w:val="auto"/>
                <w:szCs w:val="21"/>
                <w:highlight w:val="none"/>
                <w:lang w:val="en-US" w:eastAsia="zh-CN"/>
              </w:rPr>
              <w:t>1分</w:t>
            </w:r>
            <w:r>
              <w:rPr>
                <w:rFonts w:hint="eastAsia"/>
                <w:color w:val="auto"/>
                <w:szCs w:val="21"/>
                <w:highlight w:val="none"/>
              </w:rPr>
              <w:t>。</w:t>
            </w:r>
          </w:p>
        </w:tc>
        <w:tc>
          <w:tcPr>
            <w:tcW w:w="778" w:type="dxa"/>
            <w:vMerge w:val="restar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12</w:t>
            </w: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lang w:val="en-US" w:eastAsia="zh-CN"/>
              </w:rPr>
              <w:t>2</w:t>
            </w:r>
            <w:r>
              <w:rPr>
                <w:rFonts w:hint="eastAsia"/>
                <w:color w:val="auto"/>
                <w:szCs w:val="21"/>
                <w:highlight w:val="none"/>
              </w:rPr>
              <w:t>、会前会后检查会场设备完好，</w:t>
            </w:r>
            <w:r>
              <w:rPr>
                <w:rFonts w:hint="eastAsia"/>
                <w:color w:val="auto"/>
                <w:szCs w:val="21"/>
                <w:highlight w:val="none"/>
                <w:lang w:eastAsia="zh-CN"/>
              </w:rPr>
              <w:t>确保</w:t>
            </w:r>
            <w:r>
              <w:rPr>
                <w:rFonts w:hint="eastAsia"/>
                <w:color w:val="auto"/>
                <w:szCs w:val="21"/>
                <w:highlight w:val="none"/>
              </w:rPr>
              <w:t>照明、通风、空调、横幅、音响、桌椅</w:t>
            </w:r>
            <w:r>
              <w:rPr>
                <w:rFonts w:hint="eastAsia"/>
                <w:color w:val="auto"/>
                <w:szCs w:val="21"/>
                <w:highlight w:val="none"/>
                <w:lang w:eastAsia="zh-CN"/>
              </w:rPr>
              <w:t>等正常使用，音响设备卫生及时清理，会后空调、音响等设备及时关闭</w:t>
            </w:r>
            <w:r>
              <w:rPr>
                <w:rFonts w:hint="eastAsia"/>
                <w:color w:val="auto"/>
                <w:szCs w:val="21"/>
                <w:highlight w:val="none"/>
              </w:rPr>
              <w:t>。</w:t>
            </w:r>
          </w:p>
        </w:tc>
        <w:tc>
          <w:tcPr>
            <w:tcW w:w="2809" w:type="dxa"/>
            <w:noWrap w:val="0"/>
            <w:vAlign w:val="center"/>
          </w:tcPr>
          <w:p>
            <w:pPr>
              <w:rPr>
                <w:rFonts w:hint="eastAsia"/>
                <w:color w:val="auto"/>
                <w:szCs w:val="21"/>
                <w:highlight w:val="none"/>
              </w:rPr>
            </w:pPr>
            <w:r>
              <w:rPr>
                <w:rFonts w:hint="eastAsia"/>
                <w:color w:val="auto"/>
                <w:szCs w:val="21"/>
                <w:highlight w:val="none"/>
              </w:rPr>
              <w:t>音响设备日常检查记录不完整的扣2分；音响设备卫生清理不到位的每次扣1分；会后空调、音响等设备未做检查未关闭的扣2分。</w:t>
            </w:r>
          </w:p>
        </w:tc>
        <w:tc>
          <w:tcPr>
            <w:tcW w:w="778" w:type="dxa"/>
            <w:vMerge w:val="continue"/>
            <w:noWrap w:val="0"/>
            <w:vAlign w:val="center"/>
          </w:tcPr>
          <w:p>
            <w:pPr>
              <w:jc w:val="center"/>
              <w:rPr>
                <w:rFonts w:hint="default" w:eastAsia="宋体"/>
                <w:color w:val="auto"/>
                <w:szCs w:val="21"/>
                <w:highlight w:val="none"/>
                <w:lang w:val="en-US" w:eastAsia="zh-CN"/>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、主动配合组会人员做好会前、会中、会后各项服务。</w:t>
            </w:r>
          </w:p>
        </w:tc>
        <w:tc>
          <w:tcPr>
            <w:tcW w:w="2809" w:type="dxa"/>
            <w:noWrap w:val="0"/>
            <w:vAlign w:val="center"/>
          </w:tcPr>
          <w:p>
            <w:pPr>
              <w:rPr>
                <w:rFonts w:hint="eastAsia"/>
                <w:color w:val="auto"/>
                <w:szCs w:val="21"/>
                <w:highlight w:val="none"/>
              </w:rPr>
            </w:pPr>
            <w:r>
              <w:rPr>
                <w:rFonts w:hint="eastAsia"/>
                <w:color w:val="auto"/>
                <w:szCs w:val="21"/>
                <w:highlight w:val="none"/>
              </w:rPr>
              <w:t>对有效投诉的每次扣2分。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3" w:type="dxa"/>
            <w:vMerge w:val="continue"/>
            <w:noWrap w:val="0"/>
            <w:vAlign w:val="center"/>
          </w:tcPr>
          <w:p>
            <w:pPr>
              <w:rPr>
                <w:rFonts w:hint="eastAsia"/>
                <w:color w:val="auto"/>
                <w:szCs w:val="21"/>
                <w:highlight w:val="none"/>
              </w:rPr>
            </w:pPr>
          </w:p>
        </w:tc>
        <w:tc>
          <w:tcPr>
            <w:tcW w:w="3395"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、做好茶水、服务工作，会场内保证全场有工作人员在场，并做好会场调度工作（含音响音量控制、空调温度调整等）。</w:t>
            </w:r>
          </w:p>
        </w:tc>
        <w:tc>
          <w:tcPr>
            <w:tcW w:w="2809"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未做到15分钟倒茶水的每次扣1分；未做好调度工作的扣2分；会中相关保障人员不在岗的扣5分。（音响无人控制、空调温度无人调整）</w:t>
            </w:r>
          </w:p>
        </w:tc>
        <w:tc>
          <w:tcPr>
            <w:tcW w:w="778" w:type="dxa"/>
            <w:vMerge w:val="continue"/>
            <w:noWrap w:val="0"/>
            <w:vAlign w:val="top"/>
          </w:tcPr>
          <w:p>
            <w:pPr>
              <w:rPr>
                <w:color w:val="auto"/>
                <w:szCs w:val="21"/>
                <w:highlight w:val="none"/>
              </w:rPr>
            </w:pPr>
          </w:p>
        </w:tc>
        <w:tc>
          <w:tcPr>
            <w:tcW w:w="1077" w:type="dxa"/>
            <w:tcBorders>
              <w:bottom w:val="single" w:color="auto" w:sz="4" w:space="0"/>
            </w:tcBorders>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lang w:val="en-US" w:eastAsia="zh-CN"/>
              </w:rPr>
              <w:t>5</w:t>
            </w:r>
            <w:r>
              <w:rPr>
                <w:rFonts w:hint="eastAsia"/>
                <w:color w:val="auto"/>
                <w:szCs w:val="21"/>
                <w:highlight w:val="none"/>
              </w:rPr>
              <w:t>、桌椅无灰尘，玻璃光亮，灯具饰物整洁，各会场卫生干净整洁。</w:t>
            </w:r>
          </w:p>
        </w:tc>
        <w:tc>
          <w:tcPr>
            <w:tcW w:w="2809" w:type="dxa"/>
            <w:noWrap w:val="0"/>
            <w:vAlign w:val="center"/>
          </w:tcPr>
          <w:p>
            <w:pPr>
              <w:rPr>
                <w:rFonts w:hint="eastAsia"/>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53" w:type="dxa"/>
            <w:vMerge w:val="restart"/>
            <w:shd w:val="clear" w:color="auto" w:fill="auto"/>
            <w:noWrap w:val="0"/>
            <w:vAlign w:val="center"/>
          </w:tcPr>
          <w:p>
            <w:pPr>
              <w:rPr>
                <w:rFonts w:hint="eastAsia"/>
                <w:color w:val="auto"/>
                <w:szCs w:val="21"/>
                <w:highlight w:val="none"/>
                <w:lang w:eastAsia="zh-CN"/>
              </w:rPr>
            </w:pPr>
            <w:r>
              <w:rPr>
                <w:rFonts w:hint="eastAsia"/>
                <w:color w:val="auto"/>
                <w:szCs w:val="21"/>
                <w:highlight w:val="none"/>
                <w:lang w:eastAsia="zh-CN"/>
              </w:rPr>
              <w:t>六</w:t>
            </w:r>
          </w:p>
          <w:p>
            <w:pPr>
              <w:rPr>
                <w:rFonts w:hint="eastAsia"/>
                <w:color w:val="auto"/>
                <w:szCs w:val="21"/>
                <w:highlight w:val="none"/>
                <w:lang w:eastAsia="zh-CN"/>
              </w:rPr>
            </w:pPr>
            <w:r>
              <w:rPr>
                <w:rFonts w:hint="eastAsia"/>
                <w:color w:val="auto"/>
                <w:szCs w:val="21"/>
                <w:highlight w:val="none"/>
                <w:lang w:eastAsia="zh-CN"/>
              </w:rPr>
              <w:t>运动场所管理</w:t>
            </w:r>
          </w:p>
          <w:p>
            <w:pPr>
              <w:rPr>
                <w:rFonts w:hint="eastAsia"/>
                <w:color w:val="auto"/>
                <w:szCs w:val="21"/>
                <w:highlight w:val="none"/>
                <w:lang w:eastAsia="zh-CN"/>
              </w:rPr>
            </w:pPr>
          </w:p>
        </w:tc>
        <w:tc>
          <w:tcPr>
            <w:tcW w:w="3395" w:type="dxa"/>
            <w:shd w:val="clear" w:color="auto" w:fill="D7D7D7"/>
            <w:noWrap w:val="0"/>
            <w:vAlign w:val="center"/>
          </w:tcPr>
          <w:p>
            <w:pPr>
              <w:rPr>
                <w:rFonts w:hint="eastAsia"/>
                <w:color w:val="auto"/>
                <w:szCs w:val="21"/>
                <w:highlight w:val="none"/>
                <w:lang w:val="en-US" w:eastAsia="zh-CN"/>
              </w:rPr>
            </w:pPr>
            <w:r>
              <w:rPr>
                <w:rFonts w:hint="eastAsia"/>
                <w:color w:val="auto"/>
                <w:szCs w:val="21"/>
                <w:highlight w:val="none"/>
                <w:lang w:val="en-US" w:eastAsia="zh-CN"/>
              </w:rPr>
              <w:t>运动场所管理</w:t>
            </w:r>
          </w:p>
        </w:tc>
        <w:tc>
          <w:tcPr>
            <w:tcW w:w="2809" w:type="dxa"/>
            <w:shd w:val="clear" w:color="auto" w:fill="D7D7D7"/>
            <w:noWrap w:val="0"/>
            <w:vAlign w:val="center"/>
          </w:tcPr>
          <w:p>
            <w:pPr>
              <w:rPr>
                <w:color w:val="auto"/>
                <w:szCs w:val="21"/>
                <w:highlight w:val="none"/>
              </w:rPr>
            </w:pPr>
          </w:p>
        </w:tc>
        <w:tc>
          <w:tcPr>
            <w:tcW w:w="778" w:type="dxa"/>
            <w:shd w:val="clear" w:color="auto" w:fill="D7D7D7"/>
            <w:noWrap w:val="0"/>
            <w:vAlign w:val="top"/>
          </w:tcPr>
          <w:p>
            <w:pPr>
              <w:rPr>
                <w:color w:val="auto"/>
                <w:szCs w:val="21"/>
                <w:highlight w:val="none"/>
              </w:rPr>
            </w:pPr>
          </w:p>
        </w:tc>
        <w:tc>
          <w:tcPr>
            <w:tcW w:w="1077" w:type="dxa"/>
            <w:shd w:val="clear" w:color="auto" w:fill="D7D7D7"/>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default"/>
                <w:color w:val="auto"/>
                <w:szCs w:val="21"/>
                <w:highlight w:val="none"/>
                <w:lang w:val="en-US" w:eastAsia="zh-CN"/>
              </w:rPr>
            </w:pPr>
            <w:r>
              <w:rPr>
                <w:rFonts w:hint="eastAsia"/>
                <w:color w:val="auto"/>
                <w:szCs w:val="21"/>
                <w:highlight w:val="none"/>
                <w:lang w:val="en-US" w:eastAsia="zh-CN"/>
              </w:rPr>
              <w:t>1、运动场所设备检查完好，场内设施灯光正常运行。确保场地无污渍，垃圾，体育器材无灰尘。</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restart"/>
            <w:noWrap w:val="0"/>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3</w:t>
            </w: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default"/>
                <w:color w:val="auto"/>
                <w:szCs w:val="21"/>
                <w:highlight w:val="none"/>
                <w:lang w:val="en-US" w:eastAsia="zh-CN"/>
              </w:rPr>
            </w:pPr>
            <w:r>
              <w:rPr>
                <w:rFonts w:hint="eastAsia"/>
                <w:color w:val="auto"/>
                <w:szCs w:val="21"/>
                <w:highlight w:val="none"/>
                <w:lang w:val="en-US" w:eastAsia="zh-CN"/>
              </w:rPr>
              <w:t>2、服务热情周到，运动场所准备充分的茶水、淋浴等</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default"/>
                <w:color w:val="auto"/>
                <w:szCs w:val="21"/>
                <w:highlight w:val="none"/>
                <w:lang w:val="en-US" w:eastAsia="zh-CN"/>
              </w:rPr>
            </w:pPr>
            <w:r>
              <w:rPr>
                <w:rFonts w:hint="eastAsia"/>
                <w:color w:val="auto"/>
                <w:szCs w:val="21"/>
                <w:highlight w:val="none"/>
                <w:lang w:val="en-US" w:eastAsia="zh-CN"/>
              </w:rPr>
              <w:t>3、做好场地协调使用工作，保证场地有序使用。</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top"/>
          </w:tcPr>
          <w:p>
            <w:pP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53" w:type="dxa"/>
            <w:vMerge w:val="restart"/>
            <w:shd w:val="clear" w:color="auto" w:fill="auto"/>
            <w:noWrap w:val="0"/>
            <w:vAlign w:val="center"/>
          </w:tcPr>
          <w:p>
            <w:pPr>
              <w:rPr>
                <w:rFonts w:hint="eastAsia"/>
                <w:color w:val="auto"/>
                <w:szCs w:val="21"/>
                <w:highlight w:val="none"/>
              </w:rPr>
            </w:pPr>
            <w:r>
              <w:rPr>
                <w:rFonts w:hint="eastAsia"/>
                <w:color w:val="auto"/>
                <w:szCs w:val="21"/>
                <w:highlight w:val="none"/>
                <w:lang w:eastAsia="zh-CN"/>
              </w:rPr>
              <w:t>七</w:t>
            </w:r>
            <w:r>
              <w:rPr>
                <w:rFonts w:hint="eastAsia"/>
                <w:color w:val="auto"/>
                <w:szCs w:val="21"/>
                <w:highlight w:val="none"/>
              </w:rPr>
              <w:t>环境卫生管理</w:t>
            </w:r>
          </w:p>
        </w:tc>
        <w:tc>
          <w:tcPr>
            <w:tcW w:w="3395" w:type="dxa"/>
            <w:tcBorders>
              <w:bottom w:val="single" w:color="auto" w:sz="4" w:space="0"/>
            </w:tcBorders>
            <w:shd w:val="clear" w:color="auto" w:fill="D9D9D9"/>
            <w:noWrap w:val="0"/>
            <w:vAlign w:val="center"/>
          </w:tcPr>
          <w:p>
            <w:pPr>
              <w:rPr>
                <w:rFonts w:hint="eastAsia"/>
                <w:color w:val="auto"/>
                <w:szCs w:val="21"/>
                <w:highlight w:val="none"/>
              </w:rPr>
            </w:pPr>
            <w:r>
              <w:rPr>
                <w:color w:val="auto"/>
                <w:szCs w:val="21"/>
                <w:highlight w:val="none"/>
              </w:rPr>
              <w:t>环境卫生管理</w:t>
            </w:r>
          </w:p>
        </w:tc>
        <w:tc>
          <w:tcPr>
            <w:tcW w:w="2809" w:type="dxa"/>
            <w:tcBorders>
              <w:bottom w:val="single" w:color="auto" w:sz="4" w:space="0"/>
            </w:tcBorders>
            <w:shd w:val="clear" w:color="auto" w:fill="D9D9D9"/>
            <w:noWrap w:val="0"/>
            <w:vAlign w:val="center"/>
          </w:tcPr>
          <w:p>
            <w:pPr>
              <w:rPr>
                <w:color w:val="auto"/>
                <w:szCs w:val="21"/>
                <w:highlight w:val="none"/>
              </w:rPr>
            </w:pPr>
          </w:p>
        </w:tc>
        <w:tc>
          <w:tcPr>
            <w:tcW w:w="778" w:type="dxa"/>
            <w:tcBorders>
              <w:bottom w:val="single" w:color="auto" w:sz="4" w:space="0"/>
            </w:tcBorders>
            <w:shd w:val="clear" w:color="auto" w:fill="D9D9D9"/>
            <w:noWrap w:val="0"/>
            <w:vAlign w:val="top"/>
          </w:tcPr>
          <w:p>
            <w:pPr>
              <w:rPr>
                <w:color w:val="auto"/>
                <w:szCs w:val="21"/>
                <w:highlight w:val="none"/>
              </w:rPr>
            </w:pP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53" w:type="dxa"/>
            <w:vMerge w:val="continue"/>
            <w:noWrap w:val="0"/>
            <w:vAlign w:val="center"/>
          </w:tcPr>
          <w:p>
            <w:pPr>
              <w:rPr>
                <w:rFonts w:hint="eastAsia"/>
                <w:color w:val="auto"/>
                <w:szCs w:val="21"/>
                <w:highlight w:val="none"/>
              </w:rPr>
            </w:pPr>
          </w:p>
        </w:tc>
        <w:tc>
          <w:tcPr>
            <w:tcW w:w="3395"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保持公共区域干净整洁，并做好卫生保洁巡逻记录。</w:t>
            </w:r>
          </w:p>
        </w:tc>
        <w:tc>
          <w:tcPr>
            <w:tcW w:w="2809" w:type="dxa"/>
            <w:tcBorders>
              <w:bottom w:val="single" w:color="auto" w:sz="4" w:space="0"/>
            </w:tcBorders>
            <w:noWrap w:val="0"/>
            <w:vAlign w:val="center"/>
          </w:tcPr>
          <w:p>
            <w:pPr>
              <w:rPr>
                <w:rFonts w:hint="eastAsia"/>
                <w:color w:val="auto"/>
                <w:szCs w:val="21"/>
                <w:highlight w:val="none"/>
              </w:rPr>
            </w:pPr>
            <w:r>
              <w:rPr>
                <w:color w:val="auto"/>
                <w:szCs w:val="21"/>
                <w:highlight w:val="none"/>
              </w:rPr>
              <w:t>　</w:t>
            </w:r>
            <w:r>
              <w:rPr>
                <w:rFonts w:hint="eastAsia"/>
                <w:color w:val="auto"/>
                <w:szCs w:val="21"/>
                <w:highlight w:val="none"/>
              </w:rPr>
              <w:t>检查记录漏一次的扣1分，巡逻中发现问题没有及时报告或报修的扣1分。</w:t>
            </w:r>
          </w:p>
        </w:tc>
        <w:tc>
          <w:tcPr>
            <w:tcW w:w="778" w:type="dxa"/>
            <w:vMerge w:val="restart"/>
            <w:noWrap w:val="0"/>
            <w:vAlign w:val="center"/>
          </w:tcPr>
          <w:p>
            <w:pPr>
              <w:jc w:val="center"/>
              <w:rPr>
                <w:rFonts w:hint="eastAsia"/>
                <w:color w:val="auto"/>
                <w:szCs w:val="21"/>
                <w:highlight w:val="none"/>
              </w:rPr>
            </w:pPr>
            <w:r>
              <w:rPr>
                <w:rFonts w:hint="eastAsia"/>
                <w:color w:val="auto"/>
                <w:szCs w:val="21"/>
                <w:highlight w:val="none"/>
              </w:rPr>
              <w:t>20</w:t>
            </w:r>
          </w:p>
        </w:tc>
        <w:tc>
          <w:tcPr>
            <w:tcW w:w="1077" w:type="dxa"/>
            <w:tcBorders>
              <w:bottom w:val="single" w:color="auto" w:sz="4" w:space="0"/>
            </w:tcBorders>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53" w:type="dxa"/>
            <w:vMerge w:val="continue"/>
            <w:shd w:val="clear" w:color="auto" w:fill="auto"/>
            <w:noWrap w:val="0"/>
            <w:vAlign w:val="center"/>
          </w:tcPr>
          <w:p>
            <w:pPr>
              <w:rPr>
                <w:rFonts w:hint="eastAsia"/>
                <w:color w:val="auto"/>
                <w:szCs w:val="21"/>
                <w:highlight w:val="none"/>
              </w:rPr>
            </w:pPr>
          </w:p>
        </w:tc>
        <w:tc>
          <w:tcPr>
            <w:tcW w:w="3395" w:type="dxa"/>
            <w:tcBorders>
              <w:bottom w:val="single" w:color="auto" w:sz="4" w:space="0"/>
            </w:tcBorders>
            <w:shd w:val="clear" w:color="auto" w:fill="D9D9D9"/>
            <w:noWrap w:val="0"/>
            <w:vAlign w:val="center"/>
          </w:tcPr>
          <w:p>
            <w:pPr>
              <w:rPr>
                <w:rFonts w:hint="eastAsia"/>
                <w:color w:val="auto"/>
                <w:szCs w:val="21"/>
                <w:highlight w:val="none"/>
              </w:rPr>
            </w:pPr>
            <w:r>
              <w:rPr>
                <w:rFonts w:hint="eastAsia"/>
                <w:color w:val="auto"/>
                <w:szCs w:val="21"/>
                <w:highlight w:val="none"/>
              </w:rPr>
              <w:t>1、大厅、走廊、楼道</w:t>
            </w:r>
          </w:p>
        </w:tc>
        <w:tc>
          <w:tcPr>
            <w:tcW w:w="2809" w:type="dxa"/>
            <w:tcBorders>
              <w:bottom w:val="single" w:color="auto" w:sz="4" w:space="0"/>
            </w:tcBorders>
            <w:shd w:val="clear" w:color="auto" w:fill="D9D9D9"/>
            <w:noWrap w:val="0"/>
            <w:vAlign w:val="center"/>
          </w:tcPr>
          <w:p>
            <w:pPr>
              <w:rPr>
                <w:rFonts w:hint="eastAsia"/>
                <w:color w:val="auto"/>
                <w:szCs w:val="21"/>
                <w:highlight w:val="none"/>
              </w:rPr>
            </w:pPr>
          </w:p>
        </w:tc>
        <w:tc>
          <w:tcPr>
            <w:tcW w:w="778" w:type="dxa"/>
            <w:vMerge w:val="continue"/>
            <w:shd w:val="clear" w:color="auto" w:fill="D9D9D9"/>
            <w:noWrap w:val="0"/>
            <w:vAlign w:val="center"/>
          </w:tcPr>
          <w:p>
            <w:pPr>
              <w:jc w:val="center"/>
              <w:rPr>
                <w:color w:val="auto"/>
                <w:szCs w:val="21"/>
                <w:highlight w:val="none"/>
              </w:rPr>
            </w:pP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①确保地面无污渍，无垃圾，垃圾桶的烟蒂槽及时清理。</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②大门玻璃雨遮定期清洗，保持明亮干净，公共玻璃无灰尘，无手印，确保光亮。</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continue"/>
            <w:noWrap w:val="0"/>
            <w:vAlign w:val="top"/>
          </w:tcPr>
          <w:p>
            <w:pPr>
              <w:rPr>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③楼道扶手、栏杆无灰尘。</w:t>
            </w:r>
          </w:p>
        </w:tc>
        <w:tc>
          <w:tcPr>
            <w:tcW w:w="2809" w:type="dxa"/>
            <w:noWrap w:val="0"/>
            <w:vAlign w:val="center"/>
          </w:tcPr>
          <w:p>
            <w:pPr>
              <w:rPr>
                <w:rFonts w:hint="eastAsia"/>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653" w:type="dxa"/>
            <w:vMerge w:val="continue"/>
            <w:noWrap w:val="0"/>
            <w:vAlign w:val="center"/>
          </w:tcPr>
          <w:p>
            <w:pPr>
              <w:rPr>
                <w:rFonts w:hint="eastAsia"/>
                <w:color w:val="auto"/>
                <w:szCs w:val="21"/>
                <w:highlight w:val="none"/>
              </w:rPr>
            </w:pPr>
          </w:p>
        </w:tc>
        <w:tc>
          <w:tcPr>
            <w:tcW w:w="3395"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④一楼大门、大厅不得堆放杂物，大厅摆放宣传品需报机关中心。</w:t>
            </w:r>
          </w:p>
        </w:tc>
        <w:tc>
          <w:tcPr>
            <w:tcW w:w="2809" w:type="dxa"/>
            <w:tcBorders>
              <w:bottom w:val="single" w:color="auto" w:sz="4" w:space="0"/>
            </w:tcBorders>
            <w:noWrap w:val="0"/>
            <w:vAlign w:val="center"/>
          </w:tcPr>
          <w:p>
            <w:pPr>
              <w:rPr>
                <w:rFonts w:hint="eastAsia"/>
                <w:color w:val="auto"/>
                <w:szCs w:val="21"/>
                <w:highlight w:val="none"/>
              </w:rPr>
            </w:pPr>
            <w:r>
              <w:rPr>
                <w:rFonts w:hint="eastAsia"/>
                <w:color w:val="auto"/>
                <w:szCs w:val="21"/>
                <w:highlight w:val="none"/>
              </w:rPr>
              <w:t>未经批准发现一次扣1分。</w:t>
            </w:r>
          </w:p>
        </w:tc>
        <w:tc>
          <w:tcPr>
            <w:tcW w:w="778" w:type="dxa"/>
            <w:vMerge w:val="continue"/>
            <w:noWrap w:val="0"/>
            <w:vAlign w:val="center"/>
          </w:tcPr>
          <w:p>
            <w:pPr>
              <w:jc w:val="center"/>
              <w:rPr>
                <w:color w:val="auto"/>
                <w:szCs w:val="21"/>
                <w:highlight w:val="none"/>
              </w:rPr>
            </w:pPr>
          </w:p>
        </w:tc>
        <w:tc>
          <w:tcPr>
            <w:tcW w:w="1077" w:type="dxa"/>
            <w:tcBorders>
              <w:bottom w:val="single" w:color="auto" w:sz="4" w:space="0"/>
            </w:tcBorders>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653" w:type="dxa"/>
            <w:vMerge w:val="continue"/>
            <w:shd w:val="clear" w:color="auto" w:fill="auto"/>
            <w:noWrap w:val="0"/>
            <w:vAlign w:val="center"/>
          </w:tcPr>
          <w:p>
            <w:pPr>
              <w:rPr>
                <w:rFonts w:hint="eastAsia"/>
                <w:color w:val="auto"/>
                <w:szCs w:val="21"/>
                <w:highlight w:val="none"/>
              </w:rPr>
            </w:pPr>
          </w:p>
        </w:tc>
        <w:tc>
          <w:tcPr>
            <w:tcW w:w="3395" w:type="dxa"/>
            <w:tcBorders>
              <w:bottom w:val="single" w:color="auto" w:sz="4" w:space="0"/>
            </w:tcBorders>
            <w:shd w:val="clear" w:color="auto" w:fill="D9D9D9"/>
            <w:noWrap w:val="0"/>
            <w:vAlign w:val="center"/>
          </w:tcPr>
          <w:p>
            <w:pPr>
              <w:rPr>
                <w:color w:val="auto"/>
                <w:szCs w:val="21"/>
                <w:highlight w:val="none"/>
              </w:rPr>
            </w:pPr>
            <w:r>
              <w:rPr>
                <w:color w:val="auto"/>
                <w:szCs w:val="21"/>
                <w:highlight w:val="none"/>
              </w:rPr>
              <w:t>2. </w:t>
            </w:r>
            <w:r>
              <w:rPr>
                <w:rFonts w:hint="eastAsia"/>
                <w:color w:val="auto"/>
                <w:szCs w:val="21"/>
                <w:highlight w:val="none"/>
              </w:rPr>
              <w:t>卫生间</w:t>
            </w:r>
          </w:p>
        </w:tc>
        <w:tc>
          <w:tcPr>
            <w:tcW w:w="2809" w:type="dxa"/>
            <w:tcBorders>
              <w:bottom w:val="single" w:color="auto" w:sz="4" w:space="0"/>
            </w:tcBorders>
            <w:shd w:val="clear" w:color="auto" w:fill="D9D9D9"/>
            <w:noWrap w:val="0"/>
            <w:vAlign w:val="center"/>
          </w:tcPr>
          <w:p>
            <w:pPr>
              <w:rPr>
                <w:color w:val="auto"/>
                <w:szCs w:val="21"/>
                <w:highlight w:val="none"/>
              </w:rPr>
            </w:pPr>
          </w:p>
        </w:tc>
        <w:tc>
          <w:tcPr>
            <w:tcW w:w="778" w:type="dxa"/>
            <w:vMerge w:val="continue"/>
            <w:shd w:val="clear" w:color="auto" w:fill="D9D9D9"/>
            <w:noWrap w:val="0"/>
            <w:vAlign w:val="center"/>
          </w:tcPr>
          <w:p>
            <w:pPr>
              <w:jc w:val="center"/>
              <w:rPr>
                <w:color w:val="auto"/>
                <w:szCs w:val="21"/>
                <w:highlight w:val="none"/>
              </w:rPr>
            </w:pPr>
          </w:p>
        </w:tc>
        <w:tc>
          <w:tcPr>
            <w:tcW w:w="1077" w:type="dxa"/>
            <w:tcBorders>
              <w:bottom w:val="single" w:color="auto" w:sz="4" w:space="0"/>
            </w:tcBorders>
            <w:shd w:val="clear" w:color="auto" w:fill="D9D9D9"/>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①</w:t>
            </w:r>
            <w:r>
              <w:rPr>
                <w:color w:val="auto"/>
                <w:szCs w:val="21"/>
                <w:highlight w:val="none"/>
              </w:rPr>
              <w:t> </w:t>
            </w:r>
            <w:r>
              <w:rPr>
                <w:rFonts w:hint="eastAsia"/>
                <w:color w:val="auto"/>
                <w:szCs w:val="21"/>
                <w:highlight w:val="none"/>
              </w:rPr>
              <w:t>照明系统正常，光线充足，水龙头无跑冒滴水</w:t>
            </w:r>
          </w:p>
        </w:tc>
        <w:tc>
          <w:tcPr>
            <w:tcW w:w="2809" w:type="dxa"/>
            <w:noWrap w:val="0"/>
            <w:vAlign w:val="center"/>
          </w:tcPr>
          <w:p>
            <w:pPr>
              <w:rPr>
                <w:rFonts w:hint="eastAsia"/>
                <w:color w:val="auto"/>
                <w:szCs w:val="21"/>
                <w:highlight w:val="none"/>
              </w:rPr>
            </w:pPr>
            <w:r>
              <w:rPr>
                <w:rFonts w:hint="eastAsia"/>
                <w:color w:val="auto"/>
                <w:szCs w:val="21"/>
                <w:highlight w:val="none"/>
              </w:rPr>
              <w:t>发现卫生间配套设施出现问题（灯、排气扇、冲水感应器、水龙头等）未及时维修的扣1分。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②</w:t>
            </w:r>
            <w:r>
              <w:rPr>
                <w:color w:val="auto"/>
                <w:szCs w:val="21"/>
                <w:highlight w:val="none"/>
              </w:rPr>
              <w:t> </w:t>
            </w:r>
            <w:r>
              <w:rPr>
                <w:rFonts w:hint="eastAsia"/>
                <w:color w:val="auto"/>
                <w:szCs w:val="21"/>
                <w:highlight w:val="none"/>
              </w:rPr>
              <w:t>排气正常，空气清新。</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③</w:t>
            </w:r>
            <w:r>
              <w:rPr>
                <w:color w:val="auto"/>
                <w:szCs w:val="21"/>
                <w:highlight w:val="none"/>
              </w:rPr>
              <w:t> </w:t>
            </w:r>
            <w:r>
              <w:rPr>
                <w:rFonts w:hint="eastAsia"/>
                <w:color w:val="auto"/>
                <w:szCs w:val="21"/>
                <w:highlight w:val="none"/>
              </w:rPr>
              <w:t>顶棚，灯具，排气扇，无灰尘，无蜘蛛网。</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④厕位，洗手盆，尿槽清洁干净，垃圾桶及时清理。</w:t>
            </w:r>
          </w:p>
        </w:tc>
        <w:tc>
          <w:tcPr>
            <w:tcW w:w="2809" w:type="dxa"/>
            <w:noWrap w:val="0"/>
            <w:vAlign w:val="center"/>
          </w:tcPr>
          <w:p>
            <w:pPr>
              <w:rPr>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rPr>
              <w:t>3、花草树木长势良好，修剪整齐美观，无枯枝。</w:t>
            </w:r>
          </w:p>
        </w:tc>
        <w:tc>
          <w:tcPr>
            <w:tcW w:w="2809" w:type="dxa"/>
            <w:noWrap w:val="0"/>
            <w:vAlign w:val="center"/>
          </w:tcPr>
          <w:p>
            <w:pPr>
              <w:rPr>
                <w:rFonts w:hint="eastAsia"/>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eastAsia="宋体"/>
                <w:color w:val="auto"/>
                <w:szCs w:val="21"/>
                <w:highlight w:val="none"/>
                <w:lang w:val="en-US" w:eastAsia="zh-CN"/>
              </w:rPr>
            </w:pPr>
            <w:r>
              <w:rPr>
                <w:rFonts w:hint="eastAsia"/>
                <w:color w:val="auto"/>
                <w:szCs w:val="21"/>
                <w:highlight w:val="none"/>
                <w:lang w:val="en-US" w:eastAsia="zh-CN"/>
              </w:rPr>
              <w:t>4、绿地无改变使用用途和破坏、占用现象；绿地无纸屑、烟头、石块等杂物。</w:t>
            </w:r>
          </w:p>
        </w:tc>
        <w:tc>
          <w:tcPr>
            <w:tcW w:w="2809" w:type="dxa"/>
            <w:noWrap w:val="0"/>
            <w:vAlign w:val="center"/>
          </w:tcPr>
          <w:p>
            <w:pPr>
              <w:rPr>
                <w:rFonts w:hint="eastAsia"/>
                <w:color w:val="auto"/>
                <w:szCs w:val="21"/>
                <w:highlight w:val="none"/>
              </w:rPr>
            </w:pPr>
            <w:r>
              <w:rPr>
                <w:color w:val="auto"/>
                <w:szCs w:val="21"/>
                <w:highlight w:val="none"/>
              </w:rPr>
              <w:t>每发现一处不符合扣</w:t>
            </w:r>
            <w:r>
              <w:rPr>
                <w:rFonts w:hint="eastAsia"/>
                <w:color w:val="auto"/>
                <w:szCs w:val="21"/>
                <w:highlight w:val="none"/>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eastAsia="宋体"/>
                <w:color w:val="auto"/>
                <w:szCs w:val="21"/>
                <w:highlight w:val="none"/>
                <w:lang w:val="en-US" w:eastAsia="zh-CN"/>
              </w:rPr>
            </w:pPr>
            <w:r>
              <w:rPr>
                <w:rFonts w:hint="eastAsia"/>
                <w:color w:val="auto"/>
                <w:szCs w:val="21"/>
                <w:highlight w:val="none"/>
                <w:lang w:val="en-US" w:eastAsia="zh-CN"/>
              </w:rPr>
              <w:t>5、配合做好垃圾分类相关工作，并做好垃圾分类。</w:t>
            </w:r>
          </w:p>
        </w:tc>
        <w:tc>
          <w:tcPr>
            <w:tcW w:w="2809" w:type="dxa"/>
            <w:noWrap w:val="0"/>
            <w:vAlign w:val="center"/>
          </w:tcPr>
          <w:p>
            <w:pPr>
              <w:rPr>
                <w:rFonts w:hint="default" w:eastAsia="宋体"/>
                <w:color w:val="auto"/>
                <w:szCs w:val="21"/>
                <w:highlight w:val="none"/>
                <w:lang w:val="en-US" w:eastAsia="zh-CN"/>
              </w:rPr>
            </w:pPr>
            <w:r>
              <w:rPr>
                <w:rFonts w:hint="eastAsia"/>
                <w:color w:val="auto"/>
                <w:szCs w:val="21"/>
                <w:highlight w:val="none"/>
                <w:lang w:eastAsia="zh-CN"/>
              </w:rPr>
              <w:t>每发现一项不符合扣</w:t>
            </w:r>
            <w:r>
              <w:rPr>
                <w:rFonts w:hint="eastAsia"/>
                <w:color w:val="auto"/>
                <w:szCs w:val="21"/>
                <w:highlight w:val="none"/>
                <w:lang w:val="en-US" w:eastAsia="zh-CN"/>
              </w:rPr>
              <w:t>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、定期进行除四害消杀</w:t>
            </w:r>
          </w:p>
        </w:tc>
        <w:tc>
          <w:tcPr>
            <w:tcW w:w="2809" w:type="dxa"/>
            <w:noWrap w:val="0"/>
            <w:vAlign w:val="center"/>
          </w:tcPr>
          <w:p>
            <w:pPr>
              <w:rPr>
                <w:rFonts w:hint="eastAsia"/>
                <w:color w:val="auto"/>
                <w:szCs w:val="21"/>
                <w:highlight w:val="none"/>
              </w:rPr>
            </w:pPr>
            <w:r>
              <w:rPr>
                <w:rFonts w:hint="eastAsia"/>
                <w:color w:val="auto"/>
                <w:szCs w:val="21"/>
                <w:highlight w:val="none"/>
              </w:rPr>
              <w:t>无除四害消杀记录的扣1分。</w:t>
            </w:r>
          </w:p>
        </w:tc>
        <w:tc>
          <w:tcPr>
            <w:tcW w:w="778" w:type="dxa"/>
            <w:vMerge w:val="continue"/>
            <w:noWrap w:val="0"/>
            <w:vAlign w:val="center"/>
          </w:tcPr>
          <w:p>
            <w:pPr>
              <w:jc w:val="center"/>
              <w:rPr>
                <w:color w:val="auto"/>
                <w:szCs w:val="21"/>
                <w:highlight w:val="none"/>
              </w:rPr>
            </w:pP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53" w:type="dxa"/>
            <w:vMerge w:val="restart"/>
            <w:noWrap w:val="0"/>
            <w:vAlign w:val="center"/>
          </w:tcPr>
          <w:p>
            <w:pPr>
              <w:rPr>
                <w:rFonts w:hint="eastAsia"/>
                <w:color w:val="auto"/>
                <w:szCs w:val="21"/>
                <w:highlight w:val="none"/>
              </w:rPr>
            </w:pPr>
            <w:r>
              <w:rPr>
                <w:rFonts w:hint="eastAsia"/>
                <w:color w:val="auto"/>
                <w:szCs w:val="21"/>
                <w:highlight w:val="none"/>
                <w:lang w:eastAsia="zh-CN"/>
              </w:rPr>
              <w:t>八</w:t>
            </w:r>
            <w:r>
              <w:rPr>
                <w:rFonts w:hint="eastAsia"/>
                <w:color w:val="auto"/>
                <w:szCs w:val="21"/>
                <w:highlight w:val="none"/>
              </w:rPr>
              <w:t>加分项目</w:t>
            </w:r>
          </w:p>
        </w:tc>
        <w:tc>
          <w:tcPr>
            <w:tcW w:w="3395" w:type="dxa"/>
            <w:noWrap w:val="0"/>
            <w:vAlign w:val="center"/>
          </w:tcPr>
          <w:p>
            <w:pPr>
              <w:numPr>
                <w:ilvl w:val="0"/>
                <w:numId w:val="9"/>
              </w:numPr>
              <w:rPr>
                <w:rFonts w:hint="eastAsia"/>
                <w:color w:val="auto"/>
                <w:szCs w:val="21"/>
                <w:highlight w:val="none"/>
              </w:rPr>
            </w:pPr>
            <w:r>
              <w:rPr>
                <w:rFonts w:hint="eastAsia"/>
                <w:color w:val="auto"/>
                <w:szCs w:val="21"/>
                <w:highlight w:val="none"/>
              </w:rPr>
              <w:t>物业公司主动提出有价值的管理方案优化调整建议，且实施后受到良好效果。</w:t>
            </w:r>
          </w:p>
        </w:tc>
        <w:tc>
          <w:tcPr>
            <w:tcW w:w="2809" w:type="dxa"/>
            <w:noWrap w:val="0"/>
            <w:vAlign w:val="center"/>
          </w:tcPr>
          <w:p>
            <w:pPr>
              <w:rPr>
                <w:rFonts w:hint="eastAsia"/>
                <w:color w:val="auto"/>
                <w:szCs w:val="21"/>
                <w:highlight w:val="none"/>
              </w:rPr>
            </w:pPr>
            <w:r>
              <w:rPr>
                <w:rFonts w:hint="eastAsia"/>
                <w:color w:val="auto"/>
                <w:szCs w:val="21"/>
                <w:highlight w:val="none"/>
              </w:rPr>
              <w:t>根据实施效果进行评价。</w:t>
            </w:r>
          </w:p>
        </w:tc>
        <w:tc>
          <w:tcPr>
            <w:tcW w:w="778" w:type="dxa"/>
            <w:noWrap w:val="0"/>
            <w:vAlign w:val="center"/>
          </w:tcPr>
          <w:p>
            <w:pPr>
              <w:jc w:val="center"/>
              <w:rPr>
                <w:rFonts w:hint="eastAsia"/>
                <w:color w:val="auto"/>
                <w:szCs w:val="21"/>
                <w:highlight w:val="none"/>
              </w:rPr>
            </w:pPr>
            <w:r>
              <w:rPr>
                <w:rFonts w:hint="eastAsia"/>
                <w:color w:val="auto"/>
                <w:szCs w:val="21"/>
                <w:highlight w:val="none"/>
              </w:rPr>
              <w:t>5</w:t>
            </w:r>
          </w:p>
        </w:tc>
        <w:tc>
          <w:tcPr>
            <w:tcW w:w="1077" w:type="dxa"/>
            <w:noWrap w:val="0"/>
            <w:vAlign w:val="top"/>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53" w:type="dxa"/>
            <w:vMerge w:val="continue"/>
            <w:noWrap w:val="0"/>
            <w:vAlign w:val="center"/>
          </w:tcPr>
          <w:p>
            <w:pPr>
              <w:rPr>
                <w:rFonts w:hint="eastAsia"/>
                <w:color w:val="auto"/>
                <w:szCs w:val="21"/>
                <w:highlight w:val="none"/>
              </w:rPr>
            </w:pPr>
          </w:p>
        </w:tc>
        <w:tc>
          <w:tcPr>
            <w:tcW w:w="3395" w:type="dxa"/>
            <w:noWrap w:val="0"/>
            <w:vAlign w:val="center"/>
          </w:tcPr>
          <w:p>
            <w:pPr>
              <w:rPr>
                <w:color w:val="auto"/>
                <w:szCs w:val="21"/>
                <w:highlight w:val="none"/>
              </w:rPr>
            </w:pPr>
            <w:r>
              <w:rPr>
                <w:rFonts w:hint="eastAsia"/>
                <w:color w:val="auto"/>
                <w:szCs w:val="21"/>
                <w:highlight w:val="none"/>
              </w:rPr>
              <w:t>2、受到各单位嘉奖表扬的。</w:t>
            </w:r>
          </w:p>
        </w:tc>
        <w:tc>
          <w:tcPr>
            <w:tcW w:w="2809" w:type="dxa"/>
            <w:noWrap w:val="0"/>
            <w:vAlign w:val="center"/>
          </w:tcPr>
          <w:p>
            <w:pPr>
              <w:rPr>
                <w:rFonts w:hint="eastAsia"/>
                <w:color w:val="auto"/>
                <w:szCs w:val="21"/>
                <w:highlight w:val="none"/>
              </w:rPr>
            </w:pPr>
            <w:r>
              <w:rPr>
                <w:rFonts w:hint="eastAsia"/>
                <w:color w:val="auto"/>
                <w:szCs w:val="21"/>
                <w:highlight w:val="none"/>
              </w:rPr>
              <w:t>区级</w:t>
            </w:r>
            <w:r>
              <w:rPr>
                <w:rFonts w:hint="eastAsia"/>
                <w:color w:val="auto"/>
                <w:szCs w:val="21"/>
                <w:highlight w:val="none"/>
                <w:lang w:eastAsia="zh-CN"/>
              </w:rPr>
              <w:t>及以上</w:t>
            </w:r>
            <w:r>
              <w:rPr>
                <w:rFonts w:hint="eastAsia"/>
                <w:color w:val="auto"/>
                <w:szCs w:val="21"/>
                <w:highlight w:val="none"/>
              </w:rPr>
              <w:t>表彰一次10分，区直部门表彰一次5分。</w:t>
            </w:r>
          </w:p>
        </w:tc>
        <w:tc>
          <w:tcPr>
            <w:tcW w:w="778" w:type="dxa"/>
            <w:noWrap w:val="0"/>
            <w:vAlign w:val="center"/>
          </w:tcPr>
          <w:p>
            <w:pPr>
              <w:jc w:val="center"/>
              <w:rPr>
                <w:rFonts w:hint="eastAsia"/>
                <w:color w:val="auto"/>
                <w:szCs w:val="21"/>
                <w:highlight w:val="none"/>
              </w:rPr>
            </w:pPr>
            <w:r>
              <w:rPr>
                <w:rFonts w:hint="eastAsia"/>
                <w:color w:val="auto"/>
                <w:szCs w:val="21"/>
                <w:highlight w:val="none"/>
              </w:rPr>
              <w:t>10</w:t>
            </w:r>
          </w:p>
        </w:tc>
        <w:tc>
          <w:tcPr>
            <w:tcW w:w="1077" w:type="dxa"/>
            <w:noWrap w:val="0"/>
            <w:vAlign w:val="top"/>
          </w:tcPr>
          <w:p>
            <w:pPr>
              <w:rPr>
                <w:color w:val="auto"/>
                <w:szCs w:val="21"/>
                <w:highlight w:val="none"/>
              </w:rPr>
            </w:pPr>
          </w:p>
        </w:tc>
      </w:tr>
    </w:tbl>
    <w:p>
      <w:pPr>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b/>
          <w:color w:val="auto"/>
          <w:sz w:val="24"/>
          <w:szCs w:val="24"/>
          <w:highlight w:val="none"/>
          <w:lang w:val="en-US" w:eastAsia="zh-CN"/>
        </w:rPr>
      </w:pPr>
    </w:p>
    <w:p>
      <w:pPr>
        <w:pageBreakBefore w:val="0"/>
        <w:kinsoku/>
        <w:wordWrap/>
        <w:overflowPunct/>
        <w:topLinePunct w:val="0"/>
        <w:autoSpaceDE/>
        <w:autoSpaceDN/>
        <w:bidi w:val="0"/>
        <w:adjustRightInd/>
        <w:snapToGrid/>
        <w:spacing w:line="440" w:lineRule="exact"/>
        <w:ind w:right="0" w:rightChars="0"/>
        <w:textAlignment w:val="auto"/>
        <w:rPr>
          <w:rFonts w:hint="default"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（四）物业管理服务费用</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、本项目物业管理服务费用的形式为包干制，投标人投标报价包括以下内容：</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1本次招标物业管理所需的人员工资、福利劳保费、风险金、人身意外保险费、社保、医保、加班费、台风或临时任务等突击费、各种补贴费、工作服装费、人员培训费、项目管理费、保洁费、绿化养护人工费、物业处及保安室的电话费、税收等费用。</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2投标报价还应包括办公通信费、纸张、文具等日常办公易耗用品费用；办公所需的办公家具、电脑、打印设备、复印机、固定电话等固定资产、设备由中标人负责提供。会议用纸、油墨，卫生用纸、香球等低值易耗用品费用由招标人负责。</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.3投标报价还应包括卫生保洁所需日常</w:t>
      </w:r>
      <w:r>
        <w:rPr>
          <w:rFonts w:hint="eastAsia" w:ascii="宋体" w:hAnsi="宋体"/>
          <w:color w:val="auto"/>
          <w:sz w:val="24"/>
          <w:szCs w:val="24"/>
          <w:highlight w:val="none"/>
          <w:lang w:eastAsia="zh-CN"/>
        </w:rPr>
        <w:t>保洁用品</w:t>
      </w:r>
      <w:r>
        <w:rPr>
          <w:rFonts w:hint="eastAsia" w:ascii="宋体" w:hAnsi="宋体"/>
          <w:color w:val="auto"/>
          <w:sz w:val="24"/>
          <w:szCs w:val="24"/>
          <w:highlight w:val="none"/>
        </w:rPr>
        <w:t>：扫把、拖把、清洁袋、洗涤消毒液；卫生保洁所需的设备、工具及垃圾清运费由中标人负责提供。</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.4投标报价还应包括防风防汛、群体性上访、信访以及其它突发性事件中根据招标人要求增加人员所需的费用（增加的人数在对物业现有人员范围内）。</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、绿化养护所需的日常修剪机械、工具由中标人负责提供。</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w:t>
      </w:r>
      <w:r>
        <w:rPr>
          <w:rFonts w:hint="eastAsia" w:ascii="宋体" w:hAnsi="宋体"/>
          <w:color w:val="auto"/>
          <w:sz w:val="24"/>
          <w:szCs w:val="24"/>
          <w:highlight w:val="none"/>
          <w:lang w:eastAsia="zh-CN"/>
        </w:rPr>
        <w:t>工作人员制服、</w:t>
      </w:r>
      <w:r>
        <w:rPr>
          <w:rFonts w:hint="eastAsia" w:ascii="宋体" w:hAnsi="宋体"/>
          <w:color w:val="auto"/>
          <w:sz w:val="24"/>
          <w:szCs w:val="24"/>
          <w:highlight w:val="none"/>
        </w:rPr>
        <w:t>安全保卫所需的对讲机、防暴棍等安全防范设施、用具由中标人负责提供。</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、本物业管理项目所需的办公场所、设备仓库（1间）由招标人负责免费提供。</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、招标文件所提供的面积与实际数量可能有一定误差，投标人应根据现场考察作出正确的判断，误差部分合同签订及服务费结算时不予增补。</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、中标人不得转包他人，若发现转包，采购人有权终止合同，并追究相应法律责任。</w:t>
      </w:r>
    </w:p>
    <w:p>
      <w:pPr>
        <w:pStyle w:val="2"/>
        <w:rPr>
          <w:rFonts w:hint="eastAsia"/>
          <w:color w:val="auto"/>
          <w:highlight w:val="none"/>
        </w:rPr>
      </w:pPr>
    </w:p>
    <w:p>
      <w:pPr>
        <w:pageBreakBefore w:val="0"/>
        <w:kinsoku/>
        <w:wordWrap/>
        <w:overflowPunct/>
        <w:topLinePunct w:val="0"/>
        <w:autoSpaceDE/>
        <w:autoSpaceDN/>
        <w:bidi w:val="0"/>
        <w:adjustRightInd/>
        <w:snapToGrid/>
        <w:spacing w:line="440" w:lineRule="exact"/>
        <w:ind w:right="0" w:rightChars="0"/>
        <w:textAlignment w:val="auto"/>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（五）其它要求</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1、投标人必须在投标文件中对以下条款进行以书面承诺，</w:t>
      </w:r>
      <w:r>
        <w:rPr>
          <w:rFonts w:hint="eastAsia" w:ascii="宋体" w:hAnsi="宋体"/>
          <w:b/>
          <w:bCs/>
          <w:color w:val="auto"/>
          <w:sz w:val="24"/>
          <w:szCs w:val="24"/>
          <w:highlight w:val="none"/>
          <w:lang w:val="en-US" w:eastAsia="zh-CN"/>
        </w:rPr>
        <w:t>否则投标无效</w:t>
      </w:r>
      <w:r>
        <w:rPr>
          <w:rFonts w:hint="eastAsia" w:ascii="宋体" w:hAnsi="宋体"/>
          <w:color w:val="auto"/>
          <w:sz w:val="24"/>
          <w:szCs w:val="24"/>
          <w:highlight w:val="none"/>
          <w:lang w:val="en-US" w:eastAsia="zh-CN"/>
        </w:rPr>
        <w:t>：</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（1）本项目中人员配置的所有人员仅服务于本项目。</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（2）本项目中保安人员在岗时确保对讲机、防暴棍等安全防范设备配备齐全。</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（3）中标人自行预备人民币50000元作为备用金，用于垫付日常应急维护，维修完毕后中标人凭正式发票向采购人报销。</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（4）提前介入：合同签订后5个工作日内中标人应派主要管理和技术人员进驻现场熟悉本项目环境及交接手续。</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（5）中标人未经采购人书面同意不得利用采购人所拥有的软硬件资源开展其他经营性活动，以谋取利益。</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（6）中标人投入本物业项目的管理和技术人员应与投标文件中填报的一致。如未按招标文件及合同要求配备工作人员的，无条件接受采购人的处罚。</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2、为业主和物业使用人的合法权益，维护公共环境和秩序，保障物业的安全与合理使用，投标人须就本项目根据国家有关物业管理的法规政策制订物业管理方案，并在投标文件中提供。</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3、物业管理期限为3年。项目付款方式：付款按月支付，具体支付根据考核情况而定，达到合同约定要求及考核办法的，于次月的15日前（如遇节假日顺延）支付上月物业服务费。</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4、中标人根据有关物业管理法规与采购人签订物业管理服务合同，并根据物业管理量化考评办法实行奖惩制度，对该物业实行统一管理，综合服务，自主经营，自负盈亏。</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5、中标人承包期限内，应严格按照《劳动法》的规定用工，签订用工劳动合同，承包期间发生的一切安全责任事故或造成第三者伤害责任的，均由中标人承担。</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6、本招标文件所述所有要求中所发生的一切费用均包含在投标总价中。</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7、违反招标文件规定及在投标过程中违法违纪，或以任何形式采取不正当竞争手段的，一经查实，由招标单位按规定给予处罚，取消本次投标资格，已经中标的终止委托管理合同，一切后果由责任者自负。</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中标人应按合同规定履行全部的义务和承担全部的责任。未经采购人的允许，中标人不得将项目以任何名义和理由全部转包或部分分包，若发现转包或分包，视为中标供应商违约，采购人有权单方终止合同，中标供应商违约对采购人造成的损失的，需另行支付相应的赔偿费用。</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9、投标人必须对其投标文件中提供各种资料、说明、声明的真实性负责。投标人若提供虚假资料，一经发现将没收其全部保证金，并根据本文件和相关法律法规追究其相关责任，其中：虚假资料若在评标过程中，还将视为无效投标；若在评标定标后发现，还将取消其中标资格（定标后采购人有可能对中标人投标文件中的承诺内容和证明材料进行核查，中标人应无条件配合采购人的核查工作，不得托词拒绝核查或隐瞒真实情况）；若在中标后签订合同时发现，采购人还将取消其合同签订，给采购人造成损失的，需另行赔偿并负相关责任。</w:t>
      </w:r>
    </w:p>
    <w:p>
      <w:pPr>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10、其他未尽事宜待双方签订物业管理服务合同时再予以补充。</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三、商务条件</w:t>
      </w:r>
      <w:r>
        <w:rPr>
          <w:rStyle w:val="17"/>
          <w:rFonts w:hint="eastAsia" w:ascii="宋体" w:hAnsi="宋体" w:eastAsia="宋体" w:cs="宋体"/>
          <w:b/>
          <w:color w:val="auto"/>
          <w:spacing w:val="0"/>
          <w:sz w:val="24"/>
          <w:szCs w:val="24"/>
          <w:highlight w:val="none"/>
        </w:rPr>
        <w:t>（以“★”标示的内容为不允许负偏离的实质性要求）</w:t>
      </w:r>
    </w:p>
    <w:p>
      <w:pPr>
        <w:pStyle w:val="12"/>
        <w:keepNext w:val="0"/>
        <w:keepLines w:val="0"/>
        <w:widowControl/>
        <w:suppressLineNumbers w:val="0"/>
        <w:spacing w:before="75" w:beforeAutospacing="0" w:after="75" w:afterAutospacing="0"/>
        <w:ind w:left="0" w:right="0" w:firstLine="0"/>
        <w:rPr>
          <w:color w:val="auto"/>
          <w:highlight w:val="none"/>
        </w:rPr>
      </w:pPr>
      <w:r>
        <w:rPr>
          <w:rStyle w:val="17"/>
          <w:rFonts w:hint="eastAsia" w:ascii="宋体" w:hAnsi="宋体" w:eastAsia="宋体" w:cs="宋体"/>
          <w:b/>
          <w:color w:val="auto"/>
          <w:spacing w:val="0"/>
          <w:sz w:val="24"/>
          <w:szCs w:val="24"/>
          <w:highlight w:val="none"/>
        </w:rPr>
        <w:t>包：1</w:t>
      </w:r>
      <w:r>
        <w:rPr>
          <w:rStyle w:val="17"/>
          <w:rFonts w:hint="eastAsia" w:ascii="宋体" w:hAnsi="宋体" w:eastAsia="宋体" w:cs="宋体"/>
          <w:b/>
          <w:color w:val="auto"/>
          <w:spacing w:val="0"/>
          <w:sz w:val="24"/>
          <w:szCs w:val="24"/>
          <w:highlight w:val="none"/>
        </w:rPr>
        <w:br w:type="textWrapping"/>
      </w:r>
      <w:r>
        <w:rPr>
          <w:rStyle w:val="17"/>
          <w:rFonts w:hint="eastAsia" w:ascii="宋体" w:hAnsi="宋体" w:eastAsia="宋体" w:cs="宋体"/>
          <w:b/>
          <w:color w:val="auto"/>
          <w:spacing w:val="0"/>
          <w:sz w:val="24"/>
          <w:szCs w:val="24"/>
          <w:highlight w:val="none"/>
        </w:rPr>
        <w:t>1、交付地点：</w:t>
      </w:r>
      <w:r>
        <w:rPr>
          <w:rStyle w:val="17"/>
          <w:rFonts w:ascii="宋体" w:hAnsi="宋体" w:eastAsia="宋体" w:cs="宋体"/>
          <w:color w:val="auto"/>
          <w:spacing w:val="0"/>
          <w:sz w:val="24"/>
          <w:szCs w:val="24"/>
          <w:highlight w:val="none"/>
        </w:rPr>
        <w:t xml:space="preserve">福建省福州市台江区学军路92号台江区文化活动中心 </w:t>
      </w:r>
    </w:p>
    <w:p>
      <w:pPr>
        <w:pStyle w:val="12"/>
        <w:keepNext w:val="0"/>
        <w:keepLines w:val="0"/>
        <w:widowControl/>
        <w:numPr>
          <w:ilvl w:val="0"/>
          <w:numId w:val="1"/>
        </w:numPr>
        <w:suppressLineNumbers w:val="0"/>
        <w:spacing w:before="75" w:beforeAutospacing="0" w:after="75" w:afterAutospacing="0"/>
        <w:ind w:left="0" w:leftChars="0" w:right="0" w:firstLine="0" w:firstLineChars="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交付时间：</w:t>
      </w:r>
      <w:r>
        <w:rPr>
          <w:rStyle w:val="17"/>
          <w:rFonts w:ascii="宋体" w:hAnsi="宋体" w:eastAsia="宋体" w:cs="宋体"/>
          <w:color w:val="auto"/>
          <w:spacing w:val="0"/>
          <w:sz w:val="24"/>
          <w:szCs w:val="24"/>
          <w:highlight w:val="none"/>
        </w:rPr>
        <w:t xml:space="preserve">合同签订后( </w:t>
      </w:r>
      <w:r>
        <w:rPr>
          <w:rStyle w:val="17"/>
          <w:rFonts w:hint="eastAsia" w:ascii="宋体" w:hAnsi="宋体" w:eastAsia="宋体" w:cs="宋体"/>
          <w:color w:val="auto"/>
          <w:spacing w:val="0"/>
          <w:sz w:val="24"/>
          <w:szCs w:val="24"/>
          <w:highlight w:val="none"/>
          <w:lang w:val="en-US" w:eastAsia="zh-CN"/>
        </w:rPr>
        <w:t>3</w:t>
      </w:r>
      <w:r>
        <w:rPr>
          <w:rStyle w:val="17"/>
          <w:rFonts w:ascii="宋体" w:hAnsi="宋体" w:eastAsia="宋体" w:cs="宋体"/>
          <w:color w:val="auto"/>
          <w:spacing w:val="0"/>
          <w:sz w:val="24"/>
          <w:szCs w:val="24"/>
          <w:highlight w:val="none"/>
        </w:rPr>
        <w:t xml:space="preserve"> ) 天内</w:t>
      </w:r>
      <w:r>
        <w:rPr>
          <w:rStyle w:val="17"/>
          <w:rFonts w:hint="eastAsia" w:ascii="宋体" w:hAnsi="宋体" w:eastAsia="宋体" w:cs="宋体"/>
          <w:color w:val="auto"/>
          <w:spacing w:val="0"/>
          <w:sz w:val="24"/>
          <w:szCs w:val="24"/>
          <w:highlight w:val="none"/>
          <w:lang w:val="en-US" w:eastAsia="zh-CN"/>
        </w:rPr>
        <w:t>交付服务，合同期限为3年。</w:t>
      </w:r>
    </w:p>
    <w:p>
      <w:pPr>
        <w:pStyle w:val="12"/>
        <w:keepNext w:val="0"/>
        <w:keepLines w:val="0"/>
        <w:widowControl/>
        <w:numPr>
          <w:ilvl w:val="0"/>
          <w:numId w:val="1"/>
        </w:numPr>
        <w:suppressLineNumbers w:val="0"/>
        <w:spacing w:before="75" w:beforeAutospacing="0" w:after="75" w:afterAutospacing="0"/>
        <w:ind w:left="0" w:leftChars="0" w:right="0" w:rightChars="0" w:firstLine="0" w:firstLineChars="0"/>
        <w:rPr>
          <w:rStyle w:val="17"/>
          <w:rFonts w:hint="default" w:ascii="宋体" w:hAnsi="宋体" w:eastAsia="宋体" w:cs="宋体"/>
          <w:b/>
          <w:color w:val="auto"/>
          <w:spacing w:val="0"/>
          <w:sz w:val="24"/>
          <w:szCs w:val="24"/>
          <w:highlight w:val="none"/>
          <w:lang w:val="en-US"/>
        </w:rPr>
      </w:pPr>
      <w:r>
        <w:rPr>
          <w:rStyle w:val="17"/>
          <w:rFonts w:hint="eastAsia" w:ascii="宋体" w:hAnsi="宋体" w:eastAsia="宋体" w:cs="宋体"/>
          <w:b/>
          <w:color w:val="auto"/>
          <w:spacing w:val="0"/>
          <w:sz w:val="24"/>
          <w:szCs w:val="24"/>
          <w:highlight w:val="none"/>
        </w:rPr>
        <w:t>交付条件：</w:t>
      </w:r>
      <w:r>
        <w:rPr>
          <w:rStyle w:val="17"/>
          <w:rFonts w:hint="eastAsia" w:ascii="宋体" w:hAnsi="宋体" w:eastAsia="宋体" w:cs="宋体"/>
          <w:b/>
          <w:color w:val="auto"/>
          <w:spacing w:val="0"/>
          <w:sz w:val="24"/>
          <w:szCs w:val="24"/>
          <w:highlight w:val="none"/>
          <w:lang w:val="en-US" w:eastAsia="zh-CN"/>
        </w:rPr>
        <w:t>合同签订后，人员配备到位，合同服务期止，无未履约完毕事项。</w:t>
      </w:r>
    </w:p>
    <w:p>
      <w:pPr>
        <w:pStyle w:val="12"/>
        <w:keepNext w:val="0"/>
        <w:keepLines w:val="0"/>
        <w:widowControl/>
        <w:numPr>
          <w:ilvl w:val="0"/>
          <w:numId w:val="0"/>
        </w:numPr>
        <w:suppressLineNumbers w:val="0"/>
        <w:spacing w:before="75" w:beforeAutospacing="0" w:after="75" w:afterAutospacing="0"/>
        <w:ind w:leftChars="0" w:right="0" w:rightChars="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4、是否收取履约保证金：</w:t>
      </w:r>
      <w:r>
        <w:rPr>
          <w:rStyle w:val="17"/>
          <w:rFonts w:hint="eastAsia" w:ascii="宋体" w:hAnsi="宋体" w:eastAsia="宋体" w:cs="宋体"/>
          <w:b/>
          <w:color w:val="auto"/>
          <w:spacing w:val="0"/>
          <w:sz w:val="24"/>
          <w:szCs w:val="24"/>
          <w:highlight w:val="none"/>
          <w:lang w:eastAsia="zh-CN"/>
        </w:rPr>
        <w:t>是。履约保证金百分比：3%。说明：中标人应在签订协议（合同）前向采购人（招标人）提交合同金额3%的履约保证金。该履约保证金将在服合同服务期止，无未履约完毕事项后无息退还。</w:t>
      </w:r>
      <w:r>
        <w:rPr>
          <w:rStyle w:val="17"/>
          <w:rFonts w:hint="eastAsia" w:ascii="宋体" w:hAnsi="宋体" w:eastAsia="宋体" w:cs="宋体"/>
          <w:b/>
          <w:color w:val="auto"/>
          <w:spacing w:val="0"/>
          <w:sz w:val="24"/>
          <w:szCs w:val="24"/>
          <w:highlight w:val="none"/>
        </w:rPr>
        <w:br w:type="textWrapping"/>
      </w:r>
      <w:r>
        <w:rPr>
          <w:rStyle w:val="17"/>
          <w:rFonts w:hint="eastAsia" w:ascii="宋体" w:hAnsi="宋体" w:eastAsia="宋体" w:cs="宋体"/>
          <w:b/>
          <w:color w:val="auto"/>
          <w:spacing w:val="0"/>
          <w:sz w:val="24"/>
          <w:szCs w:val="24"/>
          <w:highlight w:val="none"/>
        </w:rPr>
        <w:t>5、是否邀请投标人参与验收：否</w:t>
      </w:r>
      <w:r>
        <w:rPr>
          <w:rStyle w:val="17"/>
          <w:rFonts w:hint="eastAsia" w:ascii="宋体" w:hAnsi="宋体" w:eastAsia="宋体" w:cs="宋体"/>
          <w:b/>
          <w:color w:val="auto"/>
          <w:spacing w:val="0"/>
          <w:sz w:val="24"/>
          <w:szCs w:val="24"/>
          <w:highlight w:val="none"/>
        </w:rPr>
        <w:br w:type="textWrapping"/>
      </w:r>
      <w:r>
        <w:rPr>
          <w:rStyle w:val="17"/>
          <w:rFonts w:hint="eastAsia" w:ascii="宋体" w:hAnsi="宋体" w:eastAsia="宋体" w:cs="宋体"/>
          <w:b/>
          <w:color w:val="auto"/>
          <w:spacing w:val="0"/>
          <w:sz w:val="24"/>
          <w:szCs w:val="24"/>
          <w:highlight w:val="none"/>
        </w:rPr>
        <w:t>6、验收方式数据表格</w:t>
      </w:r>
    </w:p>
    <w:tbl>
      <w:tblPr>
        <w:tblStyle w:val="15"/>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highlight w:val="none"/>
                <w:lang w:val="en-US" w:eastAsia="zh-CN"/>
              </w:rPr>
            </w:pPr>
            <w:r>
              <w:rPr>
                <w:rFonts w:hint="eastAsia" w:ascii="宋体" w:hAnsi="宋体" w:eastAsia="宋体" w:cs="宋体"/>
                <w:color w:val="auto"/>
                <w:sz w:val="24"/>
                <w:szCs w:val="24"/>
                <w:highlight w:val="none"/>
                <w:lang w:eastAsia="zh-CN"/>
              </w:rPr>
              <w:t>合同签订后，人员按要求配备到位，进场工作即视为验收合格，合同期限内逐月考核。</w:t>
            </w:r>
          </w:p>
        </w:tc>
      </w:tr>
    </w:tbl>
    <w:p>
      <w:pPr>
        <w:keepNext w:val="0"/>
        <w:keepLines w:val="0"/>
        <w:widowControl/>
        <w:suppressLineNumbers w:val="0"/>
        <w:jc w:val="left"/>
        <w:rPr>
          <w:rFonts w:hint="eastAsia" w:ascii="宋体" w:hAnsi="宋体" w:eastAsia="宋体" w:cs="宋体"/>
          <w:color w:val="auto"/>
          <w:highlight w:val="none"/>
        </w:rPr>
      </w:pPr>
      <w:r>
        <w:rPr>
          <w:rStyle w:val="17"/>
          <w:rFonts w:hint="eastAsia" w:ascii="宋体" w:hAnsi="宋体" w:eastAsia="宋体" w:cs="宋体"/>
          <w:b/>
          <w:color w:val="auto"/>
          <w:kern w:val="0"/>
          <w:sz w:val="24"/>
          <w:szCs w:val="24"/>
          <w:highlight w:val="none"/>
          <w:lang w:val="en-US" w:eastAsia="zh-CN" w:bidi="ar"/>
        </w:rPr>
        <w:t>7、支付方式数据表格</w:t>
      </w:r>
    </w:p>
    <w:tbl>
      <w:tblPr>
        <w:tblStyle w:val="15"/>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支付期次</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支付比例(%)</w:t>
            </w:r>
          </w:p>
        </w:tc>
        <w:tc>
          <w:tcPr>
            <w:tcW w:w="49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100</w:t>
            </w:r>
          </w:p>
        </w:tc>
        <w:tc>
          <w:tcPr>
            <w:tcW w:w="49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lang w:eastAsia="zh-CN"/>
              </w:rPr>
            </w:pPr>
            <w:r>
              <w:rPr>
                <w:rFonts w:hint="eastAsia" w:ascii="宋体" w:hAnsi="宋体" w:eastAsia="宋体" w:cs="宋体"/>
                <w:color w:val="auto"/>
                <w:kern w:val="0"/>
                <w:sz w:val="24"/>
                <w:szCs w:val="24"/>
                <w:highlight w:val="none"/>
                <w:lang w:val="en-US" w:eastAsia="zh-CN" w:bidi="ar"/>
              </w:rPr>
              <w:t>服务期限为3年，计36个月，</w:t>
            </w:r>
            <w:r>
              <w:rPr>
                <w:rFonts w:ascii="宋体" w:hAnsi="宋体" w:eastAsia="宋体" w:cs="宋体"/>
                <w:color w:val="auto"/>
                <w:sz w:val="24"/>
                <w:szCs w:val="24"/>
                <w:highlight w:val="none"/>
              </w:rPr>
              <w:t>采购人每月根据考评情况</w:t>
            </w:r>
            <w:r>
              <w:rPr>
                <w:rFonts w:hint="eastAsia" w:ascii="宋体" w:hAnsi="宋体" w:eastAsia="宋体" w:cs="宋体"/>
                <w:color w:val="auto"/>
                <w:sz w:val="24"/>
                <w:szCs w:val="24"/>
                <w:highlight w:val="none"/>
              </w:rPr>
              <w:t>按实核发</w:t>
            </w:r>
            <w:r>
              <w:rPr>
                <w:rFonts w:ascii="宋体" w:hAnsi="宋体" w:eastAsia="宋体" w:cs="宋体"/>
                <w:color w:val="auto"/>
                <w:sz w:val="24"/>
                <w:szCs w:val="24"/>
                <w:highlight w:val="none"/>
              </w:rPr>
              <w:t>相应的物业管理费</w:t>
            </w:r>
            <w:r>
              <w:rPr>
                <w:rFonts w:hint="eastAsia" w:ascii="宋体" w:hAnsi="宋体" w:eastAsia="宋体" w:cs="宋体"/>
                <w:color w:val="auto"/>
                <w:sz w:val="24"/>
                <w:szCs w:val="24"/>
                <w:highlight w:val="none"/>
                <w:lang w:eastAsia="zh-CN"/>
              </w:rPr>
              <w:t>。</w:t>
            </w:r>
          </w:p>
        </w:tc>
      </w:tr>
    </w:tbl>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四、其他事项</w:t>
      </w:r>
    </w:p>
    <w:p>
      <w:pPr>
        <w:pStyle w:val="12"/>
        <w:keepNext w:val="0"/>
        <w:keepLines w:val="0"/>
        <w:widowControl/>
        <w:suppressLineNumbers w:val="0"/>
        <w:spacing w:before="75" w:beforeAutospacing="0" w:after="75" w:afterAutospacing="0"/>
        <w:ind w:left="0" w:right="0" w:firstLine="0"/>
        <w:rPr>
          <w:color w:val="auto"/>
          <w:highlight w:val="none"/>
        </w:rPr>
      </w:pPr>
      <w:r>
        <w:rPr>
          <w:rFonts w:ascii="宋体" w:hAnsi="宋体" w:eastAsia="宋体" w:cs="宋体"/>
          <w:color w:val="auto"/>
          <w:spacing w:val="0"/>
          <w:sz w:val="24"/>
          <w:szCs w:val="24"/>
          <w:highlight w:val="none"/>
        </w:rPr>
        <w:t>1、除招标文件另有规定外，若出现有关法律、法规和规章有强制性规定但招标文件未列明的情形，则投标人应按照有关法律、法规和规章强制性规定执行。</w:t>
      </w:r>
    </w:p>
    <w:p>
      <w:pPr>
        <w:pStyle w:val="12"/>
        <w:keepNext w:val="0"/>
        <w:keepLines w:val="0"/>
        <w:widowControl/>
        <w:suppressLineNumbers w:val="0"/>
        <w:spacing w:before="75" w:beforeAutospacing="0" w:after="75" w:afterAutospacing="0"/>
        <w:ind w:left="0" w:right="0" w:firstLine="0"/>
        <w:rPr>
          <w:rFonts w:hint="eastAsia" w:eastAsiaTheme="minorEastAsia"/>
          <w:color w:val="auto"/>
          <w:highlight w:val="none"/>
          <w:lang w:val="en-US" w:eastAsia="zh-CN"/>
        </w:rPr>
      </w:pPr>
      <w:r>
        <w:rPr>
          <w:color w:val="auto"/>
          <w:spacing w:val="0"/>
          <w:sz w:val="24"/>
          <w:szCs w:val="24"/>
          <w:highlight w:val="none"/>
        </w:rPr>
        <w:t>2、其他：</w:t>
      </w:r>
      <w:r>
        <w:rPr>
          <w:rFonts w:hint="eastAsia"/>
          <w:color w:val="auto"/>
          <w:spacing w:val="0"/>
          <w:sz w:val="24"/>
          <w:szCs w:val="24"/>
          <w:highlight w:val="none"/>
          <w:lang w:val="en-US" w:eastAsia="zh-CN"/>
        </w:rPr>
        <w:t>无。</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br w:type="page"/>
      </w:r>
    </w:p>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5" w:name="_Toc13495"/>
      <w:r>
        <w:rPr>
          <w:rStyle w:val="17"/>
          <w:rFonts w:hint="eastAsia" w:ascii="宋体" w:hAnsi="宋体" w:eastAsia="宋体" w:cs="宋体"/>
          <w:b/>
          <w:color w:val="auto"/>
          <w:spacing w:val="0"/>
          <w:sz w:val="31"/>
          <w:szCs w:val="31"/>
          <w:highlight w:val="none"/>
        </w:rPr>
        <w:t>第六章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政府采购合同（参考文本）</w:t>
      </w:r>
      <w:bookmarkEnd w:id="5"/>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编制说明</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1、签订合同应遵守政府采购法、合同法。</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Style w:val="17"/>
          <w:rFonts w:hint="eastAsia" w:ascii="宋体" w:hAnsi="宋体" w:eastAsia="宋体" w:cs="宋体"/>
          <w:b/>
          <w:color w:val="auto"/>
          <w:spacing w:val="0"/>
          <w:sz w:val="24"/>
          <w:szCs w:val="24"/>
          <w:highlight w:val="none"/>
        </w:rPr>
        <w:t>3、国家有关部门对若干合同有规范文本的，可使用相应合同文本。</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u w:val="singl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甲方：</w:t>
      </w:r>
      <w:r>
        <w:rPr>
          <w:rFonts w:hint="eastAsia" w:ascii="宋体" w:hAnsi="宋体" w:eastAsia="宋体" w:cs="宋体"/>
          <w:color w:val="auto"/>
          <w:spacing w:val="0"/>
          <w:sz w:val="24"/>
          <w:szCs w:val="24"/>
          <w:highlight w:val="none"/>
          <w:u w:val="single"/>
        </w:rPr>
        <w:t>（采购人全称）</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乙方：</w:t>
      </w:r>
      <w:r>
        <w:rPr>
          <w:rFonts w:hint="eastAsia" w:ascii="宋体" w:hAnsi="宋体" w:eastAsia="宋体" w:cs="宋体"/>
          <w:color w:val="auto"/>
          <w:spacing w:val="0"/>
          <w:sz w:val="24"/>
          <w:szCs w:val="24"/>
          <w:highlight w:val="none"/>
          <w:u w:val="single"/>
        </w:rPr>
        <w:t>（中标人全称）</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根据招标编号为</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的</w:t>
      </w:r>
      <w:r>
        <w:rPr>
          <w:rFonts w:hint="eastAsia" w:ascii="宋体" w:hAnsi="宋体" w:eastAsia="宋体" w:cs="宋体"/>
          <w:color w:val="auto"/>
          <w:spacing w:val="0"/>
          <w:sz w:val="24"/>
          <w:szCs w:val="24"/>
          <w:highlight w:val="none"/>
          <w:u w:val="single"/>
        </w:rPr>
        <w:t>（填写“项目名称”）</w:t>
      </w:r>
      <w:r>
        <w:rPr>
          <w:rFonts w:hint="eastAsia" w:ascii="宋体" w:hAnsi="宋体" w:eastAsia="宋体" w:cs="宋体"/>
          <w:color w:val="auto"/>
          <w:spacing w:val="0"/>
          <w:sz w:val="24"/>
          <w:szCs w:val="24"/>
          <w:highlight w:val="none"/>
        </w:rPr>
        <w:t>项目（以下简称：“本项目”）的招标结果，乙方为中标人。现经甲乙双方友好协商，就以下事项达成一致并签订本合同：</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1、下列合同文件是构成本合同不可分割的部分：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1.1合同条款；</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1.2招标文件、乙方的投标文件；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1.3其他文件或材料：□无。□</w:t>
      </w:r>
      <w:r>
        <w:rPr>
          <w:rFonts w:hint="eastAsia" w:ascii="宋体" w:hAnsi="宋体" w:eastAsia="宋体" w:cs="宋体"/>
          <w:color w:val="auto"/>
          <w:spacing w:val="0"/>
          <w:highlight w:val="none"/>
        </w:rPr>
        <w:t>（若有联合协议或分包意向协议）。</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2、合同标的</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3、合同总金额</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3.1合同总金额为人民币大写：</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元（￥</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4、合同标的交付时间、地点和条件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4.1交付时间：</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4.2交付地点：</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4.3交付条件：</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5、合同标的应符合招标文件、乙方投标文件的规定或约定，具体如下：</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6、验收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6.1验收应按照招标文件、乙方投标文件的规定或约定进行，具体如下：</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6.2本项目是否邀请其他投标人参与验收：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□不邀请。□邀请，具体如下：</w:t>
      </w:r>
      <w:r>
        <w:rPr>
          <w:rFonts w:hint="eastAsia" w:ascii="宋体" w:hAnsi="宋体" w:eastAsia="宋体" w:cs="宋体"/>
          <w:color w:val="auto"/>
          <w:spacing w:val="0"/>
          <w:sz w:val="24"/>
          <w:szCs w:val="24"/>
          <w:highlight w:val="none"/>
          <w:u w:val="single"/>
        </w:rPr>
        <w:t>（按照招标文件规定填写）</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7、合同款项的支付应按照招标文件的规定进行，具体如下：</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（按照实际情况编制填写，可以是表格或文字描述，包括一次性支付或分期支付等）</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8、履约保证金</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□无。□有，具体如下：</w:t>
      </w:r>
      <w:r>
        <w:rPr>
          <w:rFonts w:hint="eastAsia" w:ascii="宋体" w:hAnsi="宋体" w:eastAsia="宋体" w:cs="宋体"/>
          <w:color w:val="auto"/>
          <w:spacing w:val="0"/>
          <w:sz w:val="24"/>
          <w:szCs w:val="24"/>
          <w:highlight w:val="none"/>
          <w:u w:val="single"/>
        </w:rPr>
        <w:t>（按照招标文件规定填写）</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9、合同有效期</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10、违约责任</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11、知识产权</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highlight w:val="none"/>
          <w:u w:val="single"/>
        </w:rPr>
        <w:t>（按照实际情况编制填写）</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12、解决争议的方法</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12.1甲、乙双方协商解决。</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12.2若协商解决不成，则通过下列途径之一解决：</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□提交仲裁委员会仲裁，具体如下：</w:t>
      </w:r>
      <w:r>
        <w:rPr>
          <w:rFonts w:hint="eastAsia" w:ascii="宋体" w:hAnsi="宋体" w:eastAsia="宋体" w:cs="宋体"/>
          <w:color w:val="auto"/>
          <w:spacing w:val="0"/>
          <w:sz w:val="24"/>
          <w:szCs w:val="24"/>
          <w:highlight w:val="none"/>
          <w:u w:val="single"/>
        </w:rPr>
        <w:t>（按照实际情况编制填写）</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□向人民法院提起诉讼，具体如下：</w:t>
      </w:r>
      <w:r>
        <w:rPr>
          <w:rFonts w:hint="eastAsia" w:ascii="宋体" w:hAnsi="宋体" w:eastAsia="宋体" w:cs="宋体"/>
          <w:color w:val="auto"/>
          <w:spacing w:val="0"/>
          <w:sz w:val="24"/>
          <w:szCs w:val="24"/>
          <w:highlight w:val="none"/>
          <w:u w:val="single"/>
        </w:rPr>
        <w:t>（按照实际情况编制填写）</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13、不可抗力</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14、合同条款</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15、其他约定</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15.1合同文件与本合同具有同等法律效力。</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15.2本合同未尽事宜，双方可另行补充。</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15.4本合同一式</w:t>
      </w:r>
      <w:r>
        <w:rPr>
          <w:rFonts w:hint="eastAsia" w:ascii="宋体" w:hAnsi="宋体" w:eastAsia="宋体" w:cs="宋体"/>
          <w:color w:val="auto"/>
          <w:spacing w:val="0"/>
          <w:sz w:val="24"/>
          <w:szCs w:val="24"/>
          <w:highlight w:val="none"/>
          <w:u w:val="single"/>
        </w:rPr>
        <w:t>（填写具体份数）</w:t>
      </w:r>
      <w:r>
        <w:rPr>
          <w:rFonts w:hint="eastAsia" w:ascii="宋体" w:hAnsi="宋体" w:eastAsia="宋体" w:cs="宋体"/>
          <w:color w:val="auto"/>
          <w:spacing w:val="0"/>
          <w:sz w:val="24"/>
          <w:szCs w:val="24"/>
          <w:highlight w:val="none"/>
        </w:rPr>
        <w:t>份，经双方授权代表签字并盖章后生效。甲方、乙方各执</w:t>
      </w:r>
      <w:r>
        <w:rPr>
          <w:rFonts w:hint="eastAsia" w:ascii="宋体" w:hAnsi="宋体" w:eastAsia="宋体" w:cs="宋体"/>
          <w:color w:val="auto"/>
          <w:spacing w:val="0"/>
          <w:sz w:val="24"/>
          <w:szCs w:val="24"/>
          <w:highlight w:val="none"/>
          <w:u w:val="single"/>
        </w:rPr>
        <w:t>（填写具体份数）</w:t>
      </w:r>
      <w:r>
        <w:rPr>
          <w:rFonts w:hint="eastAsia" w:ascii="宋体" w:hAnsi="宋体" w:eastAsia="宋体" w:cs="宋体"/>
          <w:color w:val="auto"/>
          <w:spacing w:val="0"/>
          <w:sz w:val="24"/>
          <w:szCs w:val="24"/>
          <w:highlight w:val="none"/>
        </w:rPr>
        <w:t>份，送</w:t>
      </w:r>
      <w:r>
        <w:rPr>
          <w:rFonts w:hint="eastAsia" w:ascii="宋体" w:hAnsi="宋体" w:eastAsia="宋体" w:cs="宋体"/>
          <w:color w:val="auto"/>
          <w:spacing w:val="0"/>
          <w:sz w:val="24"/>
          <w:szCs w:val="24"/>
          <w:highlight w:val="none"/>
          <w:u w:val="single"/>
        </w:rPr>
        <w:t>（填写需要备案的监管部门的全称）</w:t>
      </w:r>
      <w:r>
        <w:rPr>
          <w:rFonts w:hint="eastAsia" w:ascii="宋体" w:hAnsi="宋体" w:eastAsia="宋体" w:cs="宋体"/>
          <w:color w:val="auto"/>
          <w:spacing w:val="0"/>
          <w:sz w:val="24"/>
          <w:szCs w:val="24"/>
          <w:highlight w:val="none"/>
        </w:rPr>
        <w:t>备案</w:t>
      </w:r>
      <w:r>
        <w:rPr>
          <w:rFonts w:hint="eastAsia" w:ascii="宋体" w:hAnsi="宋体" w:eastAsia="宋体" w:cs="宋体"/>
          <w:color w:val="auto"/>
          <w:spacing w:val="0"/>
          <w:sz w:val="24"/>
          <w:szCs w:val="24"/>
          <w:highlight w:val="none"/>
          <w:u w:val="single"/>
        </w:rPr>
        <w:t>（填写具体份数）</w:t>
      </w:r>
      <w:r>
        <w:rPr>
          <w:rFonts w:hint="eastAsia" w:ascii="宋体" w:hAnsi="宋体" w:eastAsia="宋体" w:cs="宋体"/>
          <w:color w:val="auto"/>
          <w:spacing w:val="0"/>
          <w:sz w:val="24"/>
          <w:szCs w:val="24"/>
          <w:highlight w:val="none"/>
        </w:rPr>
        <w:t>份，具有同等效力。</w:t>
      </w:r>
    </w:p>
    <w:p>
      <w:pPr>
        <w:pStyle w:val="12"/>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15.5其他：□无。□</w:t>
      </w:r>
      <w:r>
        <w:rPr>
          <w:rFonts w:hint="eastAsia" w:ascii="宋体" w:hAnsi="宋体" w:eastAsia="宋体" w:cs="宋体"/>
          <w:color w:val="auto"/>
          <w:spacing w:val="0"/>
          <w:sz w:val="24"/>
          <w:szCs w:val="24"/>
          <w:highlight w:val="none"/>
          <w:u w:val="single"/>
        </w:rPr>
        <w:t>（按照实际情况编制填写需要增加的内容）</w:t>
      </w:r>
      <w:r>
        <w:rPr>
          <w:rFonts w:hint="eastAsia" w:ascii="宋体" w:hAnsi="宋体" w:eastAsia="宋体" w:cs="宋体"/>
          <w:color w:val="auto"/>
          <w:spacing w:val="0"/>
          <w:sz w:val="24"/>
          <w:szCs w:val="24"/>
          <w:highlight w:val="none"/>
        </w:rPr>
        <w:t>。</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（以下无正文）</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甲方：</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乙方：</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住所：</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住所：</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单位负责人：</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单位负责人：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委托代理人：</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委托代理人：</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联系方法：</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联系方法：</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开户银行：</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开户银行：</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账号：</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账号：</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4"/>
          <w:szCs w:val="24"/>
          <w:highlight w:val="none"/>
        </w:rPr>
        <w:t>签订地点：</w:t>
      </w:r>
      <w:r>
        <w:rPr>
          <w:rFonts w:hint="eastAsia" w:ascii="宋体" w:hAnsi="宋体" w:eastAsia="宋体" w:cs="宋体"/>
          <w:color w:val="auto"/>
          <w:spacing w:val="0"/>
          <w:sz w:val="24"/>
          <w:szCs w:val="24"/>
          <w:highlight w:val="none"/>
          <w:u w:val="singl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签订日期：</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年</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月</w:t>
      </w:r>
      <w:r>
        <w:rPr>
          <w:rFonts w:hint="eastAsia" w:ascii="宋体" w:hAnsi="宋体" w:eastAsia="宋体" w:cs="宋体"/>
          <w:color w:val="auto"/>
          <w:spacing w:val="0"/>
          <w:sz w:val="24"/>
          <w:szCs w:val="24"/>
          <w:highlight w:val="none"/>
          <w:u w:val="single"/>
          <w:lang w:eastAsia="zh-CN"/>
        </w:rPr>
        <w:t xml:space="preserve">   </w:t>
      </w:r>
      <w:r>
        <w:rPr>
          <w:rFonts w:hint="eastAsia" w:ascii="宋体" w:hAnsi="宋体" w:eastAsia="宋体" w:cs="宋体"/>
          <w:color w:val="auto"/>
          <w:spacing w:val="0"/>
          <w:sz w:val="24"/>
          <w:szCs w:val="24"/>
          <w:highlight w:val="none"/>
        </w:rPr>
        <w:t>日</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 xml:space="preserve"> </w:t>
      </w:r>
    </w:p>
    <w:p>
      <w:pPr>
        <w:pStyle w:val="12"/>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br w:type="page"/>
      </w:r>
    </w:p>
    <w:p>
      <w:pPr>
        <w:pStyle w:val="12"/>
        <w:keepNext w:val="0"/>
        <w:keepLines w:val="0"/>
        <w:widowControl/>
        <w:suppressLineNumbers w:val="0"/>
        <w:spacing w:before="75" w:beforeAutospacing="0" w:after="75" w:afterAutospacing="0"/>
        <w:ind w:left="0" w:right="0" w:firstLine="0"/>
        <w:jc w:val="center"/>
        <w:outlineLvl w:val="0"/>
        <w:rPr>
          <w:rFonts w:hint="eastAsia" w:ascii="宋体" w:hAnsi="宋体" w:eastAsia="宋体" w:cs="宋体"/>
          <w:color w:val="auto"/>
          <w:highlight w:val="none"/>
        </w:rPr>
      </w:pPr>
      <w:bookmarkStart w:id="6" w:name="_Toc10673"/>
      <w:r>
        <w:rPr>
          <w:rStyle w:val="17"/>
          <w:rFonts w:hint="eastAsia" w:ascii="宋体" w:hAnsi="宋体" w:eastAsia="宋体" w:cs="宋体"/>
          <w:b/>
          <w:color w:val="auto"/>
          <w:spacing w:val="0"/>
          <w:sz w:val="31"/>
          <w:szCs w:val="31"/>
          <w:highlight w:val="none"/>
        </w:rPr>
        <w:t>第七章</w:t>
      </w:r>
      <w:r>
        <w:rPr>
          <w:rStyle w:val="17"/>
          <w:rFonts w:hint="eastAsia" w:ascii="宋体" w:hAnsi="宋体" w:eastAsia="宋体" w:cs="宋体"/>
          <w:b/>
          <w:color w:val="auto"/>
          <w:spacing w:val="0"/>
          <w:sz w:val="31"/>
          <w:szCs w:val="31"/>
          <w:highlight w:val="none"/>
          <w:lang w:eastAsia="zh-CN"/>
        </w:rPr>
        <w:t xml:space="preserve">   </w:t>
      </w:r>
      <w:r>
        <w:rPr>
          <w:rStyle w:val="17"/>
          <w:rFonts w:hint="eastAsia" w:ascii="宋体" w:hAnsi="宋体" w:eastAsia="宋体" w:cs="宋体"/>
          <w:b/>
          <w:color w:val="auto"/>
          <w:spacing w:val="0"/>
          <w:sz w:val="31"/>
          <w:szCs w:val="31"/>
          <w:highlight w:val="none"/>
        </w:rPr>
        <w:t>投标文件格式</w:t>
      </w:r>
      <w:bookmarkEnd w:id="6"/>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24"/>
          <w:szCs w:val="24"/>
          <w:highlight w:val="none"/>
        </w:rPr>
        <w:t>编制说明</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4"/>
          <w:szCs w:val="24"/>
          <w:highlight w:val="none"/>
          <w:lang w:eastAsia="zh-CN"/>
        </w:rPr>
        <w:t xml:space="preserve"> </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1、除招标文件另有规定外，本章中：</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1.1涉及投标人的</w:t>
      </w:r>
      <w:r>
        <w:rPr>
          <w:rStyle w:val="17"/>
          <w:rFonts w:hint="eastAsia" w:ascii="宋体" w:hAnsi="宋体" w:eastAsia="宋体" w:cs="宋体"/>
          <w:b/>
          <w:color w:val="auto"/>
          <w:sz w:val="24"/>
          <w:szCs w:val="24"/>
          <w:highlight w:val="none"/>
        </w:rPr>
        <w:t>“全称”</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（1）不接受联合体投标的，指</w:t>
      </w:r>
      <w:r>
        <w:rPr>
          <w:rStyle w:val="17"/>
          <w:rFonts w:hint="eastAsia" w:ascii="宋体" w:hAnsi="宋体" w:eastAsia="宋体" w:cs="宋体"/>
          <w:b/>
          <w:color w:val="auto"/>
          <w:sz w:val="24"/>
          <w:szCs w:val="24"/>
          <w:highlight w:val="none"/>
        </w:rPr>
        <w:t>投标人的全称</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（2）接受联合体投标且投标人为联合体的，指</w:t>
      </w:r>
      <w:r>
        <w:rPr>
          <w:rStyle w:val="17"/>
          <w:rFonts w:hint="eastAsia" w:ascii="宋体" w:hAnsi="宋体" w:eastAsia="宋体" w:cs="宋体"/>
          <w:b/>
          <w:color w:val="auto"/>
          <w:sz w:val="24"/>
          <w:szCs w:val="24"/>
          <w:highlight w:val="none"/>
        </w:rPr>
        <w:t>牵头方的全称</w:t>
      </w:r>
      <w:r>
        <w:rPr>
          <w:rFonts w:hint="eastAsia" w:ascii="宋体" w:hAnsi="宋体" w:eastAsia="宋体" w:cs="宋体"/>
          <w:color w:val="auto"/>
          <w:sz w:val="24"/>
          <w:szCs w:val="24"/>
          <w:highlight w:val="none"/>
        </w:rPr>
        <w:t>并加注</w:t>
      </w:r>
      <w:r>
        <w:rPr>
          <w:rStyle w:val="17"/>
          <w:rFonts w:hint="eastAsia" w:ascii="宋体" w:hAnsi="宋体" w:eastAsia="宋体" w:cs="宋体"/>
          <w:b/>
          <w:color w:val="auto"/>
          <w:sz w:val="24"/>
          <w:szCs w:val="24"/>
          <w:highlight w:val="none"/>
        </w:rPr>
        <w:t>（联合体牵头方）</w:t>
      </w:r>
      <w:r>
        <w:rPr>
          <w:rFonts w:hint="eastAsia" w:ascii="宋体" w:hAnsi="宋体" w:eastAsia="宋体" w:cs="宋体"/>
          <w:color w:val="auto"/>
          <w:sz w:val="24"/>
          <w:szCs w:val="24"/>
          <w:highlight w:val="none"/>
        </w:rPr>
        <w:t>，即应表述为：</w:t>
      </w:r>
      <w:r>
        <w:rPr>
          <w:rStyle w:val="17"/>
          <w:rFonts w:hint="eastAsia" w:ascii="宋体" w:hAnsi="宋体" w:eastAsia="宋体" w:cs="宋体"/>
          <w:b/>
          <w:color w:val="auto"/>
          <w:sz w:val="24"/>
          <w:szCs w:val="24"/>
          <w:highlight w:val="none"/>
        </w:rPr>
        <w:t>“牵头方的全称（联合体牵头方）”</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1.2涉及投标人</w:t>
      </w:r>
      <w:r>
        <w:rPr>
          <w:rStyle w:val="17"/>
          <w:rFonts w:hint="eastAsia" w:ascii="宋体" w:hAnsi="宋体" w:eastAsia="宋体" w:cs="宋体"/>
          <w:b/>
          <w:color w:val="auto"/>
          <w:sz w:val="24"/>
          <w:szCs w:val="24"/>
          <w:highlight w:val="none"/>
        </w:rPr>
        <w:t>“加盖单位公章”</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（1）不接受联合体投标的，指</w:t>
      </w:r>
      <w:r>
        <w:rPr>
          <w:rStyle w:val="17"/>
          <w:rFonts w:hint="eastAsia" w:ascii="宋体" w:hAnsi="宋体" w:eastAsia="宋体" w:cs="宋体"/>
          <w:b/>
          <w:color w:val="auto"/>
          <w:sz w:val="24"/>
          <w:szCs w:val="24"/>
          <w:highlight w:val="none"/>
        </w:rPr>
        <w:t>加盖投标人的单位公章</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（2）接受联合体投标且投标人为联合体的，指</w:t>
      </w:r>
      <w:r>
        <w:rPr>
          <w:rStyle w:val="17"/>
          <w:rFonts w:hint="eastAsia" w:ascii="宋体" w:hAnsi="宋体" w:eastAsia="宋体" w:cs="宋体"/>
          <w:b/>
          <w:color w:val="auto"/>
          <w:sz w:val="24"/>
          <w:szCs w:val="24"/>
          <w:highlight w:val="none"/>
        </w:rPr>
        <w:t>加盖联合体牵头方的单位公章</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1.3涉及</w:t>
      </w:r>
      <w:r>
        <w:rPr>
          <w:rStyle w:val="17"/>
          <w:rFonts w:hint="eastAsia" w:ascii="宋体" w:hAnsi="宋体" w:eastAsia="宋体" w:cs="宋体"/>
          <w:b/>
          <w:color w:val="auto"/>
          <w:sz w:val="24"/>
          <w:szCs w:val="24"/>
          <w:highlight w:val="none"/>
        </w:rPr>
        <w:t>“投标人代表签字”</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（1）不接受联合体投标的，指由</w:t>
      </w:r>
      <w:r>
        <w:rPr>
          <w:rStyle w:val="17"/>
          <w:rFonts w:hint="eastAsia" w:ascii="宋体" w:hAnsi="宋体" w:eastAsia="宋体" w:cs="宋体"/>
          <w:b/>
          <w:color w:val="auto"/>
          <w:sz w:val="24"/>
          <w:szCs w:val="24"/>
          <w:highlight w:val="none"/>
        </w:rPr>
        <w:t>投标人的单位负责人或其授权的委托代理人签字</w:t>
      </w:r>
      <w:r>
        <w:rPr>
          <w:rFonts w:hint="eastAsia" w:ascii="宋体" w:hAnsi="宋体" w:eastAsia="宋体" w:cs="宋体"/>
          <w:color w:val="auto"/>
          <w:sz w:val="24"/>
          <w:szCs w:val="24"/>
          <w:highlight w:val="none"/>
        </w:rPr>
        <w:t>，由委托代理人签字的，应提供“单位负责人授权书”。</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（2）接受联合体投标且投标人为联合体的，指由</w:t>
      </w:r>
      <w:r>
        <w:rPr>
          <w:rStyle w:val="17"/>
          <w:rFonts w:hint="eastAsia" w:ascii="宋体" w:hAnsi="宋体" w:eastAsia="宋体" w:cs="宋体"/>
          <w:b/>
          <w:color w:val="auto"/>
          <w:sz w:val="24"/>
          <w:szCs w:val="24"/>
          <w:highlight w:val="none"/>
        </w:rPr>
        <w:t>联合体牵头方的单位负责人或其授权的委托代理人签字</w:t>
      </w:r>
      <w:r>
        <w:rPr>
          <w:rFonts w:hint="eastAsia" w:ascii="宋体" w:hAnsi="宋体" w:eastAsia="宋体" w:cs="宋体"/>
          <w:color w:val="auto"/>
          <w:sz w:val="24"/>
          <w:szCs w:val="24"/>
          <w:highlight w:val="none"/>
        </w:rPr>
        <w:t>，由委托代理人签字的，应提供“单位负责人授权书”。</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1.4</w:t>
      </w:r>
      <w:r>
        <w:rPr>
          <w:rStyle w:val="17"/>
          <w:rFonts w:hint="eastAsia" w:ascii="宋体" w:hAnsi="宋体" w:eastAsia="宋体" w:cs="宋体"/>
          <w:b/>
          <w:color w:val="auto"/>
          <w:sz w:val="24"/>
          <w:szCs w:val="24"/>
          <w:highlight w:val="none"/>
        </w:rPr>
        <w:t>“其他组织”</w:t>
      </w:r>
      <w:r>
        <w:rPr>
          <w:rFonts w:hint="eastAsia" w:ascii="宋体" w:hAnsi="宋体" w:eastAsia="宋体" w:cs="宋体"/>
          <w:color w:val="auto"/>
          <w:sz w:val="24"/>
          <w:szCs w:val="24"/>
          <w:highlight w:val="none"/>
        </w:rPr>
        <w:t>指合伙企业、非企业专业服务机构、个体工商户、农村承包经营户等。</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1.5</w:t>
      </w:r>
      <w:r>
        <w:rPr>
          <w:rStyle w:val="17"/>
          <w:rFonts w:hint="eastAsia" w:ascii="宋体" w:hAnsi="宋体" w:eastAsia="宋体" w:cs="宋体"/>
          <w:b/>
          <w:color w:val="auto"/>
          <w:sz w:val="24"/>
          <w:szCs w:val="24"/>
          <w:highlight w:val="none"/>
        </w:rPr>
        <w:t>“自然人”</w:t>
      </w:r>
      <w:r>
        <w:rPr>
          <w:rFonts w:hint="eastAsia" w:ascii="宋体" w:hAnsi="宋体" w:eastAsia="宋体" w:cs="宋体"/>
          <w:color w:val="auto"/>
          <w:sz w:val="24"/>
          <w:szCs w:val="24"/>
          <w:highlight w:val="none"/>
        </w:rPr>
        <w:t>指具有完全民事行为能力、能够承担民事责任和义务的中国公民。</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2、除招标文件另有规定外，本章中</w:t>
      </w:r>
      <w:r>
        <w:rPr>
          <w:rStyle w:val="17"/>
          <w:rFonts w:hint="eastAsia" w:ascii="宋体" w:hAnsi="宋体" w:eastAsia="宋体" w:cs="宋体"/>
          <w:b/>
          <w:color w:val="auto"/>
          <w:sz w:val="24"/>
          <w:szCs w:val="24"/>
          <w:highlight w:val="none"/>
        </w:rPr>
        <w:t>“投标人的资格及资信证明文件”</w:t>
      </w:r>
      <w:r>
        <w:rPr>
          <w:rFonts w:hint="eastAsia" w:ascii="宋体" w:hAnsi="宋体" w:eastAsia="宋体" w:cs="宋体"/>
          <w:color w:val="auto"/>
          <w:sz w:val="24"/>
          <w:szCs w:val="24"/>
          <w:highlight w:val="none"/>
        </w:rPr>
        <w:t>：</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2.1投标人应按照招标文件第四章第1.3条第（2）款规定及本章规定进行编制，如有必要，可增加附页，附页作为资格及资信文件的组成部分。</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2.2接受联合体投标且投标人为联合体的，联合体中的各方均应按照本章第2.1条规定提交相应的全部资料。</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3、投标人对投标文件的索引应编制页码。</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4、除招标文件另有规定外，本章中：</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4.2除《检察机关行贿犯罪档案查询结果告知函》外，若投标人提供注明“复印件无效”的证明材料或资料，其纸质投标文件正本中应提供原件。</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rPr>
        <w:t>4.3《检察机关行贿犯罪档案查询结果告知函》：投标人在纸质投标文件正本中提供原件、复印件（含扫描件）、符合本章规定的打印件（或截图）皆可。</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7" w:name="_Toc12712"/>
      <w:r>
        <w:rPr>
          <w:rStyle w:val="17"/>
          <w:rFonts w:hint="eastAsia" w:ascii="宋体" w:hAnsi="宋体" w:eastAsia="宋体" w:cs="宋体"/>
          <w:b/>
          <w:color w:val="auto"/>
          <w:sz w:val="28"/>
          <w:szCs w:val="28"/>
          <w:highlight w:val="none"/>
        </w:rPr>
        <w:t>封面格式</w:t>
      </w:r>
      <w:bookmarkEnd w:id="7"/>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48"/>
          <w:szCs w:val="48"/>
          <w:highlight w:val="none"/>
        </w:rPr>
        <w:t>福建省政府采购投标文件</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8" w:name="_Toc29317"/>
      <w:r>
        <w:rPr>
          <w:rStyle w:val="17"/>
          <w:rFonts w:hint="eastAsia" w:ascii="宋体" w:hAnsi="宋体" w:eastAsia="宋体" w:cs="宋体"/>
          <w:b/>
          <w:color w:val="auto"/>
          <w:sz w:val="48"/>
          <w:szCs w:val="48"/>
          <w:highlight w:val="none"/>
        </w:rPr>
        <w:t>（资格及资信证明部分）</w:t>
      </w:r>
      <w:bookmarkEnd w:id="8"/>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6"/>
          <w:szCs w:val="36"/>
          <w:highlight w:val="none"/>
          <w:u w:val="single"/>
        </w:rPr>
        <w:t>（填写正本或副本）</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项目名称：</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备案编号：</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招标编号：</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所投合同包：</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投标人：</w:t>
      </w:r>
      <w:r>
        <w:rPr>
          <w:rStyle w:val="17"/>
          <w:rFonts w:hint="eastAsia" w:ascii="宋体" w:hAnsi="宋体" w:eastAsia="宋体" w:cs="宋体"/>
          <w:b/>
          <w:color w:val="auto"/>
          <w:sz w:val="31"/>
          <w:szCs w:val="31"/>
          <w:highlight w:val="none"/>
          <w:u w:val="single"/>
        </w:rPr>
        <w:t>（填写“全称”）</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u w:val="single"/>
        </w:rPr>
        <w:t>（由投标人填写）</w:t>
      </w:r>
      <w:r>
        <w:rPr>
          <w:rStyle w:val="17"/>
          <w:rFonts w:hint="eastAsia" w:ascii="宋体" w:hAnsi="宋体" w:eastAsia="宋体" w:cs="宋体"/>
          <w:b/>
          <w:color w:val="auto"/>
          <w:sz w:val="31"/>
          <w:szCs w:val="31"/>
          <w:highlight w:val="none"/>
        </w:rPr>
        <w:t>年</w:t>
      </w:r>
      <w:r>
        <w:rPr>
          <w:rStyle w:val="17"/>
          <w:rFonts w:hint="eastAsia" w:ascii="宋体" w:hAnsi="宋体" w:eastAsia="宋体" w:cs="宋体"/>
          <w:b/>
          <w:color w:val="auto"/>
          <w:sz w:val="31"/>
          <w:szCs w:val="31"/>
          <w:highlight w:val="none"/>
          <w:u w:val="single"/>
        </w:rPr>
        <w:t>（由投标人填写）</w:t>
      </w:r>
      <w:r>
        <w:rPr>
          <w:rStyle w:val="17"/>
          <w:rFonts w:hint="eastAsia" w:ascii="宋体" w:hAnsi="宋体" w:eastAsia="宋体" w:cs="宋体"/>
          <w:b/>
          <w:color w:val="auto"/>
          <w:sz w:val="31"/>
          <w:szCs w:val="31"/>
          <w:highlight w:val="none"/>
        </w:rPr>
        <w:t>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8"/>
          <w:szCs w:val="28"/>
          <w:highlight w:val="none"/>
        </w:rPr>
      </w:pPr>
      <w:r>
        <w:rPr>
          <w:rStyle w:val="17"/>
          <w:rFonts w:hint="eastAsia" w:ascii="宋体" w:hAnsi="宋体" w:eastAsia="宋体" w:cs="宋体"/>
          <w:b/>
          <w:color w:val="auto"/>
          <w:sz w:val="28"/>
          <w:szCs w:val="28"/>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9" w:name="_Toc15703"/>
      <w:r>
        <w:rPr>
          <w:rStyle w:val="17"/>
          <w:rFonts w:hint="eastAsia" w:ascii="宋体" w:hAnsi="宋体" w:eastAsia="宋体" w:cs="宋体"/>
          <w:b/>
          <w:color w:val="auto"/>
          <w:sz w:val="28"/>
          <w:szCs w:val="28"/>
          <w:highlight w:val="none"/>
        </w:rPr>
        <w:t>索引</w:t>
      </w:r>
      <w:bookmarkEnd w:id="9"/>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10" w:name="_Toc11667"/>
      <w:r>
        <w:rPr>
          <w:rFonts w:hint="eastAsia" w:ascii="宋体" w:hAnsi="宋体" w:eastAsia="宋体" w:cs="宋体"/>
          <w:color w:val="auto"/>
          <w:sz w:val="28"/>
          <w:szCs w:val="28"/>
          <w:highlight w:val="none"/>
        </w:rPr>
        <w:t>一、投标函</w:t>
      </w:r>
      <w:bookmarkEnd w:id="10"/>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11" w:name="_Toc16373"/>
      <w:r>
        <w:rPr>
          <w:rFonts w:hint="eastAsia" w:ascii="宋体" w:hAnsi="宋体" w:eastAsia="宋体" w:cs="宋体"/>
          <w:color w:val="auto"/>
          <w:sz w:val="28"/>
          <w:szCs w:val="28"/>
          <w:highlight w:val="none"/>
        </w:rPr>
        <w:t>二、投标人的资格及资信证明文件</w:t>
      </w:r>
      <w:bookmarkEnd w:id="11"/>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12" w:name="_Toc8190"/>
      <w:r>
        <w:rPr>
          <w:rFonts w:hint="eastAsia" w:ascii="宋体" w:hAnsi="宋体" w:eastAsia="宋体" w:cs="宋体"/>
          <w:color w:val="auto"/>
          <w:sz w:val="28"/>
          <w:szCs w:val="28"/>
          <w:highlight w:val="none"/>
        </w:rPr>
        <w:t>三、投标保证金</w:t>
      </w:r>
      <w:bookmarkEnd w:id="12"/>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3" w:name="_Toc14596"/>
      <w:r>
        <w:rPr>
          <w:rFonts w:hint="eastAsia" w:ascii="宋体" w:hAnsi="宋体" w:eastAsia="宋体" w:cs="宋体"/>
          <w:color w:val="auto"/>
          <w:sz w:val="21"/>
          <w:szCs w:val="21"/>
          <w:highlight w:val="none"/>
        </w:rPr>
        <w:t>★注意</w:t>
      </w:r>
      <w:bookmarkEnd w:id="13"/>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资格及资信证明部分中不得出现报价部分的全部或部分的投标报价信息（或组成资料），否则</w:t>
      </w:r>
      <w:r>
        <w:rPr>
          <w:rStyle w:val="17"/>
          <w:rFonts w:hint="eastAsia" w:ascii="宋体" w:hAnsi="宋体" w:eastAsia="宋体" w:cs="宋体"/>
          <w:b/>
          <w:color w:val="auto"/>
          <w:sz w:val="21"/>
          <w:szCs w:val="21"/>
          <w:highlight w:val="none"/>
        </w:rPr>
        <w:t>资格审查不合格</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4" w:name="_Toc1667"/>
      <w:r>
        <w:rPr>
          <w:rStyle w:val="17"/>
          <w:rFonts w:hint="eastAsia" w:ascii="宋体" w:hAnsi="宋体" w:eastAsia="宋体" w:cs="宋体"/>
          <w:b/>
          <w:color w:val="auto"/>
          <w:sz w:val="21"/>
          <w:szCs w:val="21"/>
          <w:highlight w:val="none"/>
        </w:rPr>
        <w:t>一、投标函</w:t>
      </w:r>
      <w:bookmarkEnd w:id="14"/>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兹收到贵单位关于</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）的投标邀请，本投标人代表</w:t>
      </w:r>
      <w:r>
        <w:rPr>
          <w:rFonts w:hint="eastAsia" w:ascii="宋体" w:hAnsi="宋体" w:eastAsia="宋体" w:cs="宋体"/>
          <w:color w:val="auto"/>
          <w:sz w:val="21"/>
          <w:szCs w:val="21"/>
          <w:highlight w:val="none"/>
          <w:u w:val="single"/>
        </w:rPr>
        <w:t>（填写“全名”）</w:t>
      </w:r>
      <w:r>
        <w:rPr>
          <w:rFonts w:hint="eastAsia" w:ascii="宋体" w:hAnsi="宋体" w:eastAsia="宋体" w:cs="宋体"/>
          <w:color w:val="auto"/>
          <w:sz w:val="21"/>
          <w:szCs w:val="21"/>
          <w:highlight w:val="none"/>
        </w:rPr>
        <w:t>已获得我方正式授权并代表投标人</w:t>
      </w:r>
      <w:r>
        <w:rPr>
          <w:rFonts w:hint="eastAsia" w:ascii="宋体" w:hAnsi="宋体" w:eastAsia="宋体" w:cs="宋体"/>
          <w:color w:val="auto"/>
          <w:sz w:val="21"/>
          <w:szCs w:val="21"/>
          <w:highlight w:val="none"/>
          <w:u w:val="single"/>
        </w:rPr>
        <w:t>（填写“全称”）</w:t>
      </w:r>
      <w:r>
        <w:rPr>
          <w:rFonts w:hint="eastAsia" w:ascii="宋体" w:hAnsi="宋体" w:eastAsia="宋体" w:cs="宋体"/>
          <w:color w:val="auto"/>
          <w:sz w:val="21"/>
          <w:szCs w:val="21"/>
          <w:highlight w:val="none"/>
        </w:rPr>
        <w:t>参加投标，并提交招标文件规定份数的投标文件正本和副本。我方提交的全部投标文件均由下述部分组成：</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（1）资格及资信证明部分</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①投标函</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②投标人的资格及资信证明文件</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③投标保证金</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（2）报价部分</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①开标一览表</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②投标分项报价表</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③招标文件规定的价格扣除证明材料（若有）</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④招标文件规定的加分证明材料（若有）</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（3）技术商务部分</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①标的说明一览表</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②技术和服务要求响应表</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③商务条件响应表</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④投标人提交的其他资料（若有）</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根据本函，本投标人代表宣布我方保证遵守招标文件的全部规定，同时：</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r>
        <w:rPr>
          <w:rStyle w:val="17"/>
          <w:rFonts w:hint="eastAsia" w:ascii="宋体" w:hAnsi="宋体" w:eastAsia="宋体" w:cs="宋体"/>
          <w:b/>
          <w:color w:val="auto"/>
          <w:sz w:val="21"/>
          <w:szCs w:val="21"/>
          <w:highlight w:val="none"/>
        </w:rPr>
        <w:t>确认：</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1.1所投合同包的投标报价详见“开标一览表”及“投标分项报价表”。</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1.2我方已详细审查全部招标文件[包括但不限于：有关附件（若有）、澄清或修改（若有）等]，并自行承担因对全部招标文件理解不正确或误解而产生的相应后果和责任。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Style w:val="17"/>
          <w:rFonts w:hint="eastAsia" w:ascii="宋体" w:hAnsi="宋体" w:eastAsia="宋体" w:cs="宋体"/>
          <w:b/>
          <w:color w:val="auto"/>
          <w:sz w:val="21"/>
          <w:szCs w:val="21"/>
          <w:highlight w:val="none"/>
        </w:rPr>
        <w:t>承诺及声明：</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2.1我方具备招标文件第一章载明的“投标人的资格要求”且符合招标文件第三章载明的“二、投标人”之规定，否则</w:t>
      </w:r>
      <w:r>
        <w:rPr>
          <w:rStyle w:val="17"/>
          <w:rFonts w:hint="eastAsia" w:ascii="宋体" w:hAnsi="宋体" w:eastAsia="宋体" w:cs="宋体"/>
          <w:b/>
          <w:color w:val="auto"/>
          <w:sz w:val="21"/>
          <w:szCs w:val="21"/>
          <w:highlight w:val="none"/>
        </w:rPr>
        <w:t>投标无效。</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2.2我方提交的投标文件各组成部分的全部内容及资料是不可割离且真实、有效、准确、完整和不具有任何误导性的，否则产生不利后果由我方承担责任。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2.3我方提供的标的价格不高于同期市场价格，否则产生不利后果由我方承担责任。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2.4投标保证金：若出现招标文件第三章规定的不予退还情形，同意贵单位不予退还。</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2.5投标有效期：按照招标文件第三章规定执行，并在招标文件第二章载明的期限内保持有效。</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2.6若中标，将按照招标文件、我方投标文件及政府采购合同履行责任和义务。</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2.7若贵单位要求，我方同意提供与本项目投标有关的一切资料、数据或文件，并完全理解贵单位不一定要接受最低的投标报价或收到的任何投标。</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2.8除招标文件另有规定外，对于贵单位按照下述联络方式发出的任何信息或通知，均视为我方已收悉前述信息或通知的全部内容：</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联系方法：</w:t>
      </w:r>
      <w:r>
        <w:rPr>
          <w:rFonts w:hint="eastAsia" w:ascii="宋体" w:hAnsi="宋体" w:eastAsia="宋体" w:cs="宋体"/>
          <w:color w:val="auto"/>
          <w:sz w:val="21"/>
          <w:szCs w:val="21"/>
          <w:highlight w:val="none"/>
          <w:u w:val="single"/>
        </w:rPr>
        <w:t>（包括但不限于：联系人、联系电话、手机、传真、电子邮箱等）</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jc w:val="center"/>
        <w:outlineLvl w:val="9"/>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5" w:name="_Toc18567"/>
      <w:r>
        <w:rPr>
          <w:rStyle w:val="17"/>
          <w:rFonts w:hint="eastAsia" w:ascii="宋体" w:hAnsi="宋体" w:eastAsia="宋体" w:cs="宋体"/>
          <w:b/>
          <w:color w:val="auto"/>
          <w:sz w:val="21"/>
          <w:szCs w:val="21"/>
          <w:highlight w:val="none"/>
        </w:rPr>
        <w:t>二、投标人的资格及资信证明文件</w:t>
      </w:r>
      <w:bookmarkEnd w:id="15"/>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二-1单位负责人授权书（若有）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我方的单位负责人</w:t>
      </w:r>
      <w:r>
        <w:rPr>
          <w:rFonts w:hint="eastAsia" w:ascii="宋体" w:hAnsi="宋体" w:eastAsia="宋体" w:cs="宋体"/>
          <w:color w:val="auto"/>
          <w:sz w:val="21"/>
          <w:szCs w:val="21"/>
          <w:highlight w:val="none"/>
          <w:u w:val="single"/>
        </w:rPr>
        <w:t>（填写“单位负责人全名”）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（填写“投标人代表全名”）</w:t>
      </w:r>
      <w:r>
        <w:rPr>
          <w:rFonts w:hint="eastAsia" w:ascii="宋体" w:hAnsi="宋体" w:eastAsia="宋体" w:cs="宋体"/>
          <w:color w:val="auto"/>
          <w:sz w:val="21"/>
          <w:szCs w:val="21"/>
          <w:highlight w:val="none"/>
        </w:rPr>
        <w:t>为投标人代表，代表我方参加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投标人代表无转委权。特此授权。</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6" w:name="_Toc26211"/>
      <w:r>
        <w:rPr>
          <w:rFonts w:hint="eastAsia" w:ascii="宋体" w:hAnsi="宋体" w:eastAsia="宋体" w:cs="宋体"/>
          <w:color w:val="auto"/>
          <w:sz w:val="21"/>
          <w:szCs w:val="21"/>
          <w:highlight w:val="none"/>
        </w:rPr>
        <w:t>（以下无正文）</w:t>
      </w:r>
      <w:bookmarkEnd w:id="16"/>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单位负责人：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授权方</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单位负责人签字或盖章：</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接受授权方</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附：单位负责人、投标人代表的身份证正反面复印件</w:t>
      </w:r>
    </w:p>
    <w:tbl>
      <w:tblPr>
        <w:tblStyle w:val="1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要求：真实有效且内容完整、清晰、整洁。</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1、企业（银行、保险、石油石化、电力、电信等行业除外）、事业单位和社会团体法人的“单位负责人”指</w:t>
      </w:r>
      <w:r>
        <w:rPr>
          <w:rStyle w:val="17"/>
          <w:rFonts w:hint="eastAsia" w:ascii="宋体" w:hAnsi="宋体" w:eastAsia="宋体" w:cs="宋体"/>
          <w:b/>
          <w:color w:val="auto"/>
          <w:sz w:val="21"/>
          <w:szCs w:val="21"/>
          <w:highlight w:val="none"/>
        </w:rPr>
        <w:t>法定代表人</w:t>
      </w:r>
      <w:r>
        <w:rPr>
          <w:rFonts w:hint="eastAsia" w:ascii="宋体" w:hAnsi="宋体" w:eastAsia="宋体" w:cs="宋体"/>
          <w:color w:val="auto"/>
          <w:sz w:val="21"/>
          <w:szCs w:val="21"/>
          <w:highlight w:val="none"/>
        </w:rPr>
        <w:t>，即与实际提交的“营业执照等证明文件”载明的一致。</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4、投标人为自然人的，可不填写本授权书。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5、纸质投标文件正本中的本授权书（若有）应为原件。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二-2营业执照等证明文件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）投标人为法人（包括企业、事业单位和社会团体）的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签发的我方统一社会信用代码</w:t>
      </w:r>
      <w:r>
        <w:rPr>
          <w:rFonts w:hint="eastAsia" w:ascii="宋体" w:hAnsi="宋体" w:eastAsia="宋体" w:cs="宋体"/>
          <w:color w:val="auto"/>
          <w:sz w:val="21"/>
          <w:szCs w:val="21"/>
          <w:highlight w:val="none"/>
          <w:u w:val="single"/>
        </w:rPr>
        <w:t>（请填写法人的具体证照名称）</w:t>
      </w:r>
      <w:r>
        <w:rPr>
          <w:rFonts w:hint="eastAsia" w:ascii="宋体" w:hAnsi="宋体" w:eastAsia="宋体" w:cs="宋体"/>
          <w:color w:val="auto"/>
          <w:sz w:val="21"/>
          <w:szCs w:val="21"/>
          <w:highlight w:val="none"/>
        </w:rPr>
        <w:t>复印件，该证明材料真实有效，否则我方负全部责任。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）投标人为非法人（包括其他组织、自然人）的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（请填写非自然人的非法人的具体证照名称）</w:t>
      </w:r>
      <w:r>
        <w:rPr>
          <w:rFonts w:hint="eastAsia" w:ascii="宋体" w:hAnsi="宋体" w:eastAsia="宋体" w:cs="宋体"/>
          <w:color w:val="auto"/>
          <w:sz w:val="21"/>
          <w:szCs w:val="21"/>
          <w:highlight w:val="none"/>
        </w:rPr>
        <w:t>复印件，该证明材料真实有效，否则我方负全部责任。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（请填写自然人的身份证件名称）</w:t>
      </w:r>
      <w:r>
        <w:rPr>
          <w:rFonts w:hint="eastAsia" w:ascii="宋体" w:hAnsi="宋体" w:eastAsia="宋体" w:cs="宋体"/>
          <w:color w:val="auto"/>
          <w:sz w:val="21"/>
          <w:szCs w:val="21"/>
          <w:highlight w:val="none"/>
        </w:rPr>
        <w:t>复印件，该证明材料真实有效，否则我方负全部责任。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3、投标人提供的相应证明材料复印件均应符合：内容完整、清晰、整洁，并由投标人加盖其单位公章。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9"/>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二-3财务状况报告（财务报告、或资信证明、或投标担保函）</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）投标人提供财务报告的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□企业适用：现附上我方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财务报告复印件，包括资产负债表、利润表、现金流量表、所有者权益变动表（若有）及其附注（若有），上述证明材料真实有效，否则我方负全部责任。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□事业单位适用：现附上我方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财务报告复印件，包括资产负债表、收入支出表（或收入费用表）、财政补助收入支出表（若有），上述证明材料真实有效，否则我方负全部责任。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□社会团体适用：现附上我方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财务报告复印件，包括资产负债表、业务活动表、现金流量表，上述证明材料真实有效，否则我方负全部责任。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）投标人提供资信证明的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□非自然人适用（包括企业、事业单位、社会团体和其他组织）：现附上我方银行：（填写“开户银行全称”）出具的资信证明复印件，上述证明材料真实有效，否则我方负全部责任。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□自然人适用：现附上我方银行：</w:t>
      </w:r>
      <w:r>
        <w:rPr>
          <w:rFonts w:hint="eastAsia" w:ascii="宋体" w:hAnsi="宋体" w:eastAsia="宋体" w:cs="宋体"/>
          <w:color w:val="auto"/>
          <w:sz w:val="21"/>
          <w:szCs w:val="21"/>
          <w:highlight w:val="none"/>
          <w:u w:val="single"/>
        </w:rPr>
        <w:t>（填写自然人的“个人账户的开户银行全称”）</w:t>
      </w:r>
      <w:r>
        <w:rPr>
          <w:rFonts w:hint="eastAsia" w:ascii="宋体" w:hAnsi="宋体" w:eastAsia="宋体" w:cs="宋体"/>
          <w:color w:val="auto"/>
          <w:sz w:val="21"/>
          <w:szCs w:val="21"/>
          <w:highlight w:val="none"/>
        </w:rPr>
        <w:t>出具的资信证明复印件，上述证明材料真实有效，否则我方负全部责任。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）投标人提供投标担保函的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现附上由财政部门认可的政府采购专业担保机构：</w:t>
      </w:r>
      <w:r>
        <w:rPr>
          <w:rFonts w:hint="eastAsia" w:ascii="宋体" w:hAnsi="宋体" w:eastAsia="宋体" w:cs="宋体"/>
          <w:color w:val="auto"/>
          <w:sz w:val="21"/>
          <w:szCs w:val="21"/>
          <w:highlight w:val="none"/>
          <w:u w:val="single"/>
        </w:rPr>
        <w:t>（填写“担保机构全称”）</w:t>
      </w:r>
      <w:r>
        <w:rPr>
          <w:rFonts w:hint="eastAsia" w:ascii="宋体" w:hAnsi="宋体" w:eastAsia="宋体" w:cs="宋体"/>
          <w:color w:val="auto"/>
          <w:sz w:val="21"/>
          <w:szCs w:val="21"/>
          <w:highlight w:val="none"/>
        </w:rPr>
        <w:t>出具的投标担保函复印件，上述证明材料真实有效，否则我方负全部责任。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2、投标人提供的财务报告复印件（成立年限按照投标截止时间推算）应符合下列规定：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2.1成立年限满1年及以上的投标人，提供经审计的上一年度的年度财务报告。</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2.2成立年限满半年但不足1年的投标人，提供该半年度中任一季度的季度财务报告或该半年度的半年度财务报告。</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Style w:val="17"/>
          <w:rFonts w:hint="eastAsia" w:ascii="宋体" w:hAnsi="宋体" w:eastAsia="宋体" w:cs="宋体"/>
          <w:b/>
          <w:color w:val="auto"/>
          <w:sz w:val="24"/>
          <w:szCs w:val="24"/>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3、“财政部门认可的政府采购专业担保机构”应符合《财政部关于开展政府采购信用担保试点工作方案》（财库[2011]124号）的规定。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Fonts w:hint="eastAsia" w:ascii="宋体" w:hAnsi="宋体" w:eastAsia="宋体" w:cs="宋体"/>
          <w:color w:val="auto"/>
          <w:sz w:val="21"/>
          <w:szCs w:val="21"/>
          <w:highlight w:val="none"/>
        </w:rPr>
        <w:t>二</w:t>
      </w:r>
      <w:r>
        <w:rPr>
          <w:rStyle w:val="17"/>
          <w:rFonts w:hint="eastAsia" w:ascii="宋体" w:hAnsi="宋体" w:eastAsia="宋体" w:cs="宋体"/>
          <w:b/>
          <w:color w:val="auto"/>
          <w:sz w:val="21"/>
          <w:szCs w:val="21"/>
          <w:highlight w:val="none"/>
        </w:rPr>
        <w:t>-4依法缴纳税收证明材料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1、依法缴纳税收的投标人</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）法人（包括企业、事业单位和社会团体）的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（按照投标人实际缴纳的税种名称填写，如：增值税、所得税等）</w:t>
      </w:r>
      <w:r>
        <w:rPr>
          <w:rFonts w:hint="eastAsia" w:ascii="宋体" w:hAnsi="宋体" w:eastAsia="宋体" w:cs="宋体"/>
          <w:color w:val="auto"/>
          <w:sz w:val="21"/>
          <w:szCs w:val="21"/>
          <w:highlight w:val="none"/>
        </w:rPr>
        <w:t>税收凭据复印件，上述证明材料真实有效，否则我方负全部责任。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）非法人（包括其他组织、自然人）的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w:t>
      </w:r>
      <w:r>
        <w:rPr>
          <w:rFonts w:hint="eastAsia" w:ascii="宋体" w:hAnsi="宋体" w:eastAsia="宋体" w:cs="宋体"/>
          <w:color w:val="auto"/>
          <w:sz w:val="21"/>
          <w:szCs w:val="21"/>
          <w:highlight w:val="none"/>
        </w:rPr>
        <w:t>税收凭据复印件，上述证明材料真实有效，否则我方负全部责任。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2、依法免税的投标人</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）现附上我方依法免税证明材料复印件，上述证明材料真实有效，否则我方负全部责任。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2、投标人提供的税收凭据复印件应符合下列规定：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2.1投标截止时间前（不含投标截止时间的当月）已依法缴纳税收的投标人，提供投标截止时间前六个月（不含投标截止时间的当月）中任一月份的税收凭据复印件。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2.2投标截止时间的当月成立且已依法缴纳税收的投标人，提供投标截止时间当月的税收凭据复印件。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2.3投标截止时间的当月成立但因税务机关原因导致其尚未依法缴纳税收的投标人，提供依法缴纳税收承诺书原件（格式自拟），该承诺书视同税收凭据。</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w:t>
      </w:r>
      <w:r>
        <w:rPr>
          <w:rStyle w:val="17"/>
          <w:rFonts w:hint="eastAsia" w:ascii="宋体" w:hAnsi="宋体" w:eastAsia="宋体" w:cs="宋体"/>
          <w:b/>
          <w:color w:val="auto"/>
          <w:sz w:val="21"/>
          <w:szCs w:val="21"/>
          <w:highlight w:val="none"/>
        </w:rPr>
        <w:t>“依法缴纳税收证明材料”</w:t>
      </w:r>
      <w:r>
        <w:rPr>
          <w:rFonts w:hint="eastAsia" w:ascii="宋体" w:hAnsi="宋体" w:eastAsia="宋体" w:cs="宋体"/>
          <w:color w:val="auto"/>
          <w:sz w:val="21"/>
          <w:szCs w:val="21"/>
          <w:highlight w:val="none"/>
        </w:rPr>
        <w:t>有欠缴记录的，视为</w:t>
      </w:r>
      <w:r>
        <w:rPr>
          <w:rStyle w:val="17"/>
          <w:rFonts w:hint="eastAsia" w:ascii="宋体" w:hAnsi="宋体" w:eastAsia="宋体" w:cs="宋体"/>
          <w:b/>
          <w:color w:val="auto"/>
          <w:sz w:val="21"/>
          <w:szCs w:val="21"/>
          <w:highlight w:val="none"/>
        </w:rPr>
        <w:t>未依法缴纳税收。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二-5依法缴纳社会保障资金证明材料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1、依法缴纳社会保障资金的投标人</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）法人（包括企业、事业单位和社会团体）的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）非法人（包括其他组织、自然人）的</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2、依法不需要缴纳社会保障资金的投标人</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）现附上我方依法不需要缴纳社会保障资金证明材料复印件，上述证明材料真实有效，否则我方负全部责任。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2、投标人提供的社会保险凭据复印件应符合下列规定：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2.2投标截止时间的当月成立且已依法缴纳社会保障资金的投标人，提供投标截止时间当月的社会保险凭据复印件。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w:t>
      </w:r>
      <w:r>
        <w:rPr>
          <w:rStyle w:val="17"/>
          <w:rFonts w:hint="eastAsia" w:ascii="宋体" w:hAnsi="宋体" w:eastAsia="宋体" w:cs="宋体"/>
          <w:b/>
          <w:color w:val="auto"/>
          <w:sz w:val="21"/>
          <w:szCs w:val="21"/>
          <w:highlight w:val="none"/>
        </w:rPr>
        <w:t>“依法缴纳社会保障资金证明材料”</w:t>
      </w:r>
      <w:r>
        <w:rPr>
          <w:rFonts w:hint="eastAsia" w:ascii="宋体" w:hAnsi="宋体" w:eastAsia="宋体" w:cs="宋体"/>
          <w:color w:val="auto"/>
          <w:sz w:val="21"/>
          <w:szCs w:val="21"/>
          <w:highlight w:val="none"/>
        </w:rPr>
        <w:t>有欠缴记录的，视为</w:t>
      </w:r>
      <w:r>
        <w:rPr>
          <w:rStyle w:val="17"/>
          <w:rFonts w:hint="eastAsia" w:ascii="宋体" w:hAnsi="宋体" w:eastAsia="宋体" w:cs="宋体"/>
          <w:b/>
          <w:color w:val="auto"/>
          <w:sz w:val="21"/>
          <w:szCs w:val="21"/>
          <w:highlight w:val="none"/>
        </w:rPr>
        <w:t>未依法缴纳社会保障资金。</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Fonts w:hint="eastAsia" w:ascii="宋体" w:hAnsi="宋体" w:eastAsia="宋体" w:cs="宋体"/>
          <w:color w:val="auto"/>
          <w:sz w:val="21"/>
          <w:szCs w:val="21"/>
          <w:highlight w:val="none"/>
        </w:rPr>
        <w:t>二</w:t>
      </w:r>
      <w:r>
        <w:rPr>
          <w:rStyle w:val="17"/>
          <w:rFonts w:hint="eastAsia" w:ascii="宋体" w:hAnsi="宋体" w:eastAsia="宋体" w:cs="宋体"/>
          <w:b/>
          <w:color w:val="auto"/>
          <w:sz w:val="21"/>
          <w:szCs w:val="21"/>
          <w:highlight w:val="none"/>
        </w:rPr>
        <w:t>-6具备履行合同所必需设备和专业技术能力的声明函（若有）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我方具备履行合同所必需的设备和专业技术能力，否则产生不利后果由我方承担责任。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特此声明。</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1、招标文件未要求投标人提供“具备履行合同所必需的设备和专业技术能力专项证明材料”的，投标人应提供本声明函。</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2、招标文件要求投标人提供“具备履行合同所必需的设备和专业技术能力专项证明材料”的，投标人可不提供本声明函。</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3、纸质投标文件正本中的本声明函（若有）应为原件。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4、请投标人根据实际情况如实声明，否则</w:t>
      </w:r>
      <w:r>
        <w:rPr>
          <w:rStyle w:val="17"/>
          <w:rFonts w:hint="eastAsia" w:ascii="宋体" w:hAnsi="宋体" w:eastAsia="宋体" w:cs="宋体"/>
          <w:b/>
          <w:color w:val="auto"/>
          <w:sz w:val="21"/>
          <w:szCs w:val="21"/>
          <w:highlight w:val="none"/>
        </w:rPr>
        <w:t>视为提供虚假材料。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Fonts w:hint="eastAsia" w:ascii="宋体" w:hAnsi="宋体" w:eastAsia="宋体" w:cs="宋体"/>
          <w:color w:val="auto"/>
          <w:sz w:val="21"/>
          <w:szCs w:val="21"/>
          <w:highlight w:val="none"/>
        </w:rPr>
        <w:t>二</w:t>
      </w:r>
      <w:r>
        <w:rPr>
          <w:rStyle w:val="17"/>
          <w:rFonts w:hint="eastAsia" w:ascii="宋体" w:hAnsi="宋体" w:eastAsia="宋体" w:cs="宋体"/>
          <w:b/>
          <w:color w:val="auto"/>
          <w:sz w:val="21"/>
          <w:szCs w:val="21"/>
          <w:highlight w:val="none"/>
        </w:rPr>
        <w:t>-7参加采购活动前三年内在经营活动中没有重大违法记录书面声明</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参加采购活动前三年内，我方在经营活动中没有重大违法记录，也无行贿犯罪记录，否则产生不利后果由我方承担责任。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特此声明。</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1、“重大违法记录”指投标人因违法经营受到刑事处罚或责令停产停业、吊销许可证或执照、较大数额罚款等行政处罚。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2、纸质投标文件正本中的本声明应为原件。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3、请投标人根据实际情况如实声明，否则</w:t>
      </w:r>
      <w:r>
        <w:rPr>
          <w:rStyle w:val="17"/>
          <w:rFonts w:hint="eastAsia" w:ascii="宋体" w:hAnsi="宋体" w:eastAsia="宋体" w:cs="宋体"/>
          <w:b/>
          <w:color w:val="auto"/>
          <w:sz w:val="21"/>
          <w:szCs w:val="21"/>
          <w:highlight w:val="none"/>
        </w:rPr>
        <w:t>视为提供虚假材料。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Fonts w:hint="eastAsia" w:ascii="宋体" w:hAnsi="宋体" w:eastAsia="宋体" w:cs="宋体"/>
          <w:color w:val="auto"/>
          <w:sz w:val="21"/>
          <w:szCs w:val="21"/>
          <w:highlight w:val="none"/>
        </w:rPr>
        <w:t>二</w:t>
      </w:r>
      <w:r>
        <w:rPr>
          <w:rStyle w:val="17"/>
          <w:rFonts w:hint="eastAsia" w:ascii="宋体" w:hAnsi="宋体" w:eastAsia="宋体" w:cs="宋体"/>
          <w:b/>
          <w:color w:val="auto"/>
          <w:sz w:val="21"/>
          <w:szCs w:val="21"/>
          <w:highlight w:val="none"/>
        </w:rPr>
        <w:t>-8信用记录查询结果</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现附上截至</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时我方通过“信用中国”网站（www.creditchina.gov.cn）获取的我方信用信息查询结果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份、通过中国政府采购网（www.ccgp.gov.cn）获取的我方信用信息查询结果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份，上述信用信息查询结果真实有效，否则我方负全部责任。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both"/>
        <w:rPr>
          <w:rStyle w:val="17"/>
          <w:rFonts w:hint="eastAsia" w:ascii="宋体" w:hAnsi="宋体" w:eastAsia="宋体" w:cs="宋体"/>
          <w:b/>
          <w:color w:val="auto"/>
          <w:sz w:val="21"/>
          <w:szCs w:val="21"/>
          <w:highlight w:val="none"/>
        </w:rPr>
      </w:pP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二-9检察机关行贿犯罪档案查询结果告知函</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检察机关行贿犯罪档案查询结果告知函（以下简称：“告知函”）由投标人向住所地或业务发生地检察院申请查询，具体以检察院出具的为准。</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1、未提供行贿犯罪档案查询结果或查询结果表明投标人有行贿犯罪记录的，</w:t>
      </w:r>
      <w:r>
        <w:rPr>
          <w:rStyle w:val="17"/>
          <w:rFonts w:hint="eastAsia" w:ascii="宋体" w:hAnsi="宋体" w:eastAsia="宋体" w:cs="宋体"/>
          <w:b/>
          <w:color w:val="auto"/>
          <w:sz w:val="21"/>
          <w:szCs w:val="21"/>
          <w:highlight w:val="none"/>
        </w:rPr>
        <w:t>投标无效。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2、若从检察机关指定网站下载打印或截图告知函，则告知函应为从前述指定网站获取的查询结果原始页面的打印件（或截图），否则</w:t>
      </w:r>
      <w:r>
        <w:rPr>
          <w:rStyle w:val="17"/>
          <w:rFonts w:hint="eastAsia" w:ascii="宋体" w:hAnsi="宋体" w:eastAsia="宋体" w:cs="宋体"/>
          <w:b/>
          <w:color w:val="auto"/>
          <w:sz w:val="21"/>
          <w:szCs w:val="21"/>
          <w:highlight w:val="none"/>
        </w:rPr>
        <w:t>投标无效。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3、告知函应在有效期内且内容完整、清晰、整洁，否则</w:t>
      </w:r>
      <w:r>
        <w:rPr>
          <w:rStyle w:val="17"/>
          <w:rFonts w:hint="eastAsia" w:ascii="宋体" w:hAnsi="宋体" w:eastAsia="宋体" w:cs="宋体"/>
          <w:b/>
          <w:color w:val="auto"/>
          <w:sz w:val="21"/>
          <w:szCs w:val="21"/>
          <w:highlight w:val="none"/>
        </w:rPr>
        <w:t>投标无效。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4、有效期内的告知函复印件（含扫描件）及符合招标文件第七章规定的打印件（或截图），无论内容中是否注明“复印件无效”，</w:t>
      </w:r>
      <w:r>
        <w:rPr>
          <w:rStyle w:val="17"/>
          <w:rFonts w:hint="eastAsia" w:ascii="宋体" w:hAnsi="宋体" w:eastAsia="宋体" w:cs="宋体"/>
          <w:b/>
          <w:color w:val="auto"/>
          <w:sz w:val="21"/>
          <w:szCs w:val="21"/>
          <w:highlight w:val="none"/>
        </w:rPr>
        <w:t>均视同有效。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5、无法获取有效期内检察机关行贿犯罪档案查询结果告知函的，应在《参加采购活动前三年内在经营活动中没有重大违法记录书面声明》中对近三年无行贿犯罪记录进行声明。</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二-10联合体协议（若有）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兹有</w:t>
      </w:r>
      <w:r>
        <w:rPr>
          <w:rFonts w:hint="eastAsia" w:ascii="宋体" w:hAnsi="宋体" w:eastAsia="宋体" w:cs="宋体"/>
          <w:color w:val="auto"/>
          <w:sz w:val="21"/>
          <w:szCs w:val="21"/>
          <w:highlight w:val="none"/>
          <w:u w:val="single"/>
        </w:rPr>
        <w:t>（填写“联合体中各方的全称”，各方的全称之间请用“、”分割）</w:t>
      </w:r>
      <w:r>
        <w:rPr>
          <w:rFonts w:hint="eastAsia" w:ascii="宋体" w:hAnsi="宋体" w:eastAsia="宋体" w:cs="宋体"/>
          <w:color w:val="auto"/>
          <w:sz w:val="21"/>
          <w:szCs w:val="21"/>
          <w:highlight w:val="none"/>
        </w:rPr>
        <w:t>自愿组成联合体，共同参加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）的投标。现就联合体参加本项目投标的有关事宜达成下列协议：</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一、联合体各方应承担的工作和义务具体如下：</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1、牵头方（</w:t>
      </w:r>
      <w:r>
        <w:rPr>
          <w:rFonts w:hint="eastAsia" w:ascii="宋体" w:hAnsi="宋体" w:eastAsia="宋体" w:cs="宋体"/>
          <w:color w:val="auto"/>
          <w:sz w:val="21"/>
          <w:szCs w:val="21"/>
          <w:highlight w:val="none"/>
          <w:u w:val="single"/>
        </w:rPr>
        <w:t>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（填写“工作及义务的具体内容”）</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2、成员方：</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u w:val="single"/>
        </w:rPr>
        <w:t>（成员一的全称）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（填写“工作及义务的具体内容”）</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二、联合体各方约定：</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1、由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2、联合体各方约定由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代表联合体办理投标保证金事宜。</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 xml:space="preserve"> 3、</w:t>
      </w:r>
      <w:r>
        <w:rPr>
          <w:rFonts w:hint="eastAsia" w:ascii="宋体" w:hAnsi="宋体" w:eastAsia="宋体" w:cs="宋体"/>
          <w:i w:val="0"/>
          <w:color w:val="auto"/>
          <w:spacing w:val="0"/>
          <w:sz w:val="21"/>
          <w:szCs w:val="21"/>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highlight w:val="none"/>
        </w:rPr>
        <w:t>的条件参与商务部分的评标。</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四、本协议自签署之日起生效，政府采购合同履行完毕后自动失效。</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五、本协议一式</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份，联合体各方各执一份，投标文件中提交一份。</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7" w:name="_Toc30403"/>
      <w:r>
        <w:rPr>
          <w:rFonts w:hint="eastAsia" w:ascii="宋体" w:hAnsi="宋体" w:eastAsia="宋体" w:cs="宋体"/>
          <w:color w:val="auto"/>
          <w:sz w:val="21"/>
          <w:szCs w:val="21"/>
          <w:highlight w:val="none"/>
        </w:rPr>
        <w:t>（以下无正文）</w:t>
      </w:r>
      <w:bookmarkEnd w:id="17"/>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牵头方：</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（签字或盖章）</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成员一：</w:t>
      </w:r>
      <w:r>
        <w:rPr>
          <w:rFonts w:hint="eastAsia" w:ascii="宋体" w:hAnsi="宋体" w:eastAsia="宋体" w:cs="宋体"/>
          <w:color w:val="auto"/>
          <w:sz w:val="21"/>
          <w:szCs w:val="21"/>
          <w:highlight w:val="none"/>
          <w:u w:val="single"/>
        </w:rPr>
        <w:t>（全称并加盖成员一的单位公章）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（签字或盖章）</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成员**：</w:t>
      </w:r>
      <w:r>
        <w:rPr>
          <w:rFonts w:hint="eastAsia" w:ascii="宋体" w:hAnsi="宋体" w:eastAsia="宋体" w:cs="宋体"/>
          <w:color w:val="auto"/>
          <w:sz w:val="21"/>
          <w:szCs w:val="21"/>
          <w:highlight w:val="none"/>
          <w:u w:val="single"/>
        </w:rPr>
        <w:t>（全称并加盖成员**的单位公章）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rPr>
        <w:t>（签字或盖章）</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1、招标文件接受联合体投标且投标人为联合体的，投标人应提供本协议；否则无须提供。</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2、本协议由委托代理人签字或盖章的，应按照本章载明的格式提供“单位负责人授权书”。</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3、纸质投标文件正本中的本协议（若有）应为原件。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二-11中小企业声明函</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（专门面向中小企业或小型、微型企业适用，若有）</w:t>
      </w:r>
    </w:p>
    <w:p>
      <w:pPr>
        <w:keepNext w:val="0"/>
        <w:keepLines w:val="0"/>
        <w:widowControl/>
        <w:suppressLineNumbers w:val="0"/>
        <w:spacing w:before="165" w:beforeAutospacing="0" w:after="150" w:afterAutospacing="0" w:line="17" w:lineRule="atLeast"/>
        <w:ind w:left="0" w:right="0"/>
        <w:outlineLvl w:val="9"/>
        <w:rPr>
          <w:rFonts w:hint="eastAsia" w:ascii="宋体" w:hAnsi="宋体" w:eastAsia="宋体" w:cs="宋体"/>
          <w:b w:val="0"/>
          <w:color w:val="auto"/>
          <w:sz w:val="48"/>
          <w:szCs w:val="48"/>
          <w:highlight w:val="none"/>
          <w:lang w:eastAsia="zh-CN"/>
        </w:rPr>
      </w:pPr>
      <w:r>
        <w:rPr>
          <w:rFonts w:hint="eastAsia" w:ascii="宋体" w:hAnsi="宋体" w:eastAsia="宋体" w:cs="宋体"/>
          <w:b w:val="0"/>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firstLine="420"/>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中小企业声明函（货物）</w:t>
      </w:r>
    </w:p>
    <w:p>
      <w:pPr>
        <w:pStyle w:val="12"/>
        <w:keepNext w:val="0"/>
        <w:keepLines w:val="0"/>
        <w:widowControl/>
        <w:suppressLineNumbers w:val="0"/>
        <w:spacing w:before="75" w:beforeAutospacing="0" w:after="75" w:afterAutospacing="0"/>
        <w:ind w:right="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本公司（联合体）郑重声明，根据《政府采购促进中小企业发展管理办法》（财库﹝2020﹞46</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号）的规定，本公司（联合体）参加</w:t>
      </w:r>
      <w:r>
        <w:rPr>
          <w:rFonts w:hint="eastAsia" w:ascii="宋体" w:hAnsi="宋体" w:eastAsia="宋体" w:cs="宋体"/>
          <w:color w:val="auto"/>
          <w:spacing w:val="0"/>
          <w:sz w:val="21"/>
          <w:szCs w:val="21"/>
          <w:highlight w:val="none"/>
          <w:u w:val="single"/>
        </w:rPr>
        <w:t>（单位名称）</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（项目名称）</w:t>
      </w:r>
      <w:r>
        <w:rPr>
          <w:rFonts w:hint="eastAsia" w:ascii="宋体" w:hAnsi="宋体" w:eastAsia="宋体" w:cs="宋体"/>
          <w:color w:val="auto"/>
          <w:spacing w:val="0"/>
          <w:sz w:val="21"/>
          <w:szCs w:val="21"/>
          <w:highlight w:val="none"/>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1.</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u w:val="single"/>
        </w:rPr>
        <w:t>（标的名称）</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（采购文件中明确的所属行业）行业</w:t>
      </w:r>
      <w:r>
        <w:rPr>
          <w:rFonts w:hint="eastAsia" w:ascii="宋体" w:hAnsi="宋体" w:eastAsia="宋体" w:cs="宋体"/>
          <w:color w:val="auto"/>
          <w:spacing w:val="0"/>
          <w:sz w:val="21"/>
          <w:szCs w:val="21"/>
          <w:highlight w:val="none"/>
        </w:rPr>
        <w:t>；制造商为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（中型企业、小型企业、微型企业）；</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2.</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u w:val="single"/>
        </w:rPr>
        <w:t>（标的名称）</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u w:val="single"/>
        </w:rPr>
        <w:t>（采购文件中明确的所属行业</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u w:val="single"/>
        </w:rPr>
        <w:t>）行业；</w:t>
      </w:r>
      <w:r>
        <w:rPr>
          <w:rFonts w:hint="eastAsia" w:ascii="宋体" w:hAnsi="宋体" w:eastAsia="宋体" w:cs="宋体"/>
          <w:color w:val="auto"/>
          <w:spacing w:val="0"/>
          <w:sz w:val="21"/>
          <w:szCs w:val="21"/>
          <w:highlight w:val="none"/>
        </w:rPr>
        <w:t>制造商为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万元，属于</w:t>
      </w:r>
      <w:r>
        <w:rPr>
          <w:rFonts w:hint="eastAsia" w:ascii="宋体" w:hAnsi="宋体" w:eastAsia="宋体" w:cs="宋体"/>
          <w:color w:val="auto"/>
          <w:spacing w:val="0"/>
          <w:sz w:val="21"/>
          <w:szCs w:val="21"/>
          <w:highlight w:val="none"/>
          <w:u w:val="single"/>
        </w:rPr>
        <w:t>（中型企业、小型企业、微型企业）；</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企业名称（盖章）：</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1从业人员、营业收入、资产总额填报上一年度数据，无上一年度数据的新成立企业可不填报。</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br w:type="textWrapping"/>
      </w:r>
    </w:p>
    <w:p>
      <w:pPr>
        <w:pStyle w:val="12"/>
        <w:keepNext w:val="0"/>
        <w:keepLines w:val="0"/>
        <w:widowControl/>
        <w:suppressLineNumbers w:val="0"/>
        <w:spacing w:before="75" w:beforeAutospacing="0" w:after="75" w:afterAutospacing="0"/>
        <w:ind w:right="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br w:type="page"/>
      </w:r>
    </w:p>
    <w:p>
      <w:pPr>
        <w:pStyle w:val="12"/>
        <w:keepNext w:val="0"/>
        <w:keepLines w:val="0"/>
        <w:widowControl/>
        <w:suppressLineNumbers w:val="0"/>
        <w:spacing w:before="75" w:beforeAutospacing="0" w:after="75" w:afterAutospacing="0"/>
        <w:ind w:right="0"/>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中小企业声明函（工程、服务）</w:t>
      </w:r>
    </w:p>
    <w:p>
      <w:pPr>
        <w:pStyle w:val="12"/>
        <w:keepNext w:val="0"/>
        <w:keepLines w:val="0"/>
        <w:widowControl/>
        <w:suppressLineNumbers w:val="0"/>
        <w:spacing w:before="75" w:beforeAutospacing="0" w:after="75" w:afterAutospacing="0"/>
        <w:ind w:right="0"/>
        <w:jc w:val="left"/>
        <w:rPr>
          <w:rFonts w:hint="eastAsia" w:ascii="宋体" w:hAnsi="宋体" w:eastAsia="宋体" w:cs="宋体"/>
          <w:color w:val="auto"/>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本公司（联合体）郑重声明，根据《政府采购促进中小企业发展管理办法》（财库﹝2020﹞46</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号）的规定，本公司（联合体）参加</w:t>
      </w:r>
      <w:r>
        <w:rPr>
          <w:rFonts w:hint="eastAsia" w:ascii="宋体" w:hAnsi="宋体" w:eastAsia="宋体" w:cs="宋体"/>
          <w:color w:val="auto"/>
          <w:spacing w:val="0"/>
          <w:sz w:val="21"/>
          <w:szCs w:val="21"/>
          <w:highlight w:val="none"/>
          <w:u w:val="single"/>
        </w:rPr>
        <w:t>（单位名称）</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（项目名称）</w:t>
      </w:r>
      <w:r>
        <w:rPr>
          <w:rFonts w:hint="eastAsia" w:ascii="宋体" w:hAnsi="宋体" w:eastAsia="宋体" w:cs="宋体"/>
          <w:color w:val="auto"/>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1.</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u w:val="single"/>
        </w:rPr>
        <w:t>（标的名称）</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（采购文件中明确的所属行业）</w:t>
      </w:r>
      <w:r>
        <w:rPr>
          <w:rFonts w:hint="eastAsia" w:ascii="宋体" w:hAnsi="宋体" w:eastAsia="宋体" w:cs="宋体"/>
          <w:color w:val="auto"/>
          <w:spacing w:val="0"/>
          <w:sz w:val="21"/>
          <w:szCs w:val="21"/>
          <w:highlight w:val="none"/>
        </w:rPr>
        <w:t>；承建（承接）企业为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（中型企业、小型企业、微型企业）；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2.</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u w:val="single"/>
        </w:rPr>
        <w:t>（标的名称）</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（采购文件中明确的所属行业）；</w:t>
      </w:r>
      <w:r>
        <w:rPr>
          <w:rFonts w:hint="eastAsia" w:ascii="宋体" w:hAnsi="宋体" w:eastAsia="宋体" w:cs="宋体"/>
          <w:color w:val="auto"/>
          <w:spacing w:val="0"/>
          <w:sz w:val="21"/>
          <w:szCs w:val="21"/>
          <w:highlight w:val="none"/>
        </w:rPr>
        <w:t>承建（承接）企业为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lang w:eastAsia="zh-CN"/>
        </w:rPr>
        <w:t xml:space="preserve">  </w:t>
      </w:r>
      <w:r>
        <w:rPr>
          <w:rFonts w:hint="eastAsia" w:ascii="宋体" w:hAnsi="宋体" w:eastAsia="宋体" w:cs="宋体"/>
          <w:color w:val="auto"/>
          <w:spacing w:val="0"/>
          <w:sz w:val="21"/>
          <w:szCs w:val="21"/>
          <w:highlight w:val="none"/>
        </w:rPr>
        <w:t>万元，属于</w:t>
      </w:r>
      <w:r>
        <w:rPr>
          <w:rFonts w:hint="eastAsia" w:ascii="宋体" w:hAnsi="宋体" w:eastAsia="宋体" w:cs="宋体"/>
          <w:color w:val="auto"/>
          <w:spacing w:val="0"/>
          <w:sz w:val="21"/>
          <w:szCs w:val="21"/>
          <w:highlight w:val="none"/>
          <w:u w:val="single"/>
        </w:rPr>
        <w:t>（中型企业、小型企业、微型企业）；</w:t>
      </w:r>
      <w:r>
        <w:rPr>
          <w:rFonts w:hint="eastAsia" w:ascii="宋体" w:hAnsi="宋体" w:eastAsia="宋体" w:cs="宋体"/>
          <w:color w:val="auto"/>
          <w:spacing w:val="0"/>
          <w:sz w:val="21"/>
          <w:szCs w:val="21"/>
          <w:highlight w:val="none"/>
          <w:u w:val="singl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企业名称（盖章）：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1从业人员、营业收入、资产总额填报上一年度数据，无上一年度数据的新成立企业可不填报。</w:t>
      </w:r>
    </w:p>
    <w:p>
      <w:pPr>
        <w:keepNext w:val="0"/>
        <w:keepLines w:val="0"/>
        <w:widowControl/>
        <w:suppressLineNumbers w:val="0"/>
        <w:spacing w:before="165" w:beforeAutospacing="0" w:after="150" w:afterAutospacing="0" w:line="17" w:lineRule="atLeast"/>
        <w:ind w:left="0" w:right="0"/>
        <w:outlineLvl w:val="9"/>
        <w:rPr>
          <w:rFonts w:hint="eastAsia" w:ascii="宋体" w:hAnsi="宋体" w:eastAsia="宋体" w:cs="宋体"/>
          <w:b w:val="0"/>
          <w:color w:val="auto"/>
          <w:sz w:val="48"/>
          <w:szCs w:val="48"/>
          <w:highlight w:val="none"/>
          <w:lang w:eastAsia="zh-CN"/>
        </w:rPr>
      </w:pP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附：</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残疾人福利性单位声明函</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（专门面向中小企业或小型、微型企业适用，若有）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本投标人郑重声明，根据《财政部</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民政部</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）提供本投标人制造的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highlight w:val="none"/>
          <w:shd w:val="clear" w:fill="FFFFFF"/>
        </w:rPr>
        <w:t>★</w:t>
      </w:r>
      <w:r>
        <w:rPr>
          <w:rFonts w:hint="eastAsia" w:ascii="宋体" w:hAnsi="宋体" w:eastAsia="宋体" w:cs="宋体"/>
          <w:color w:val="auto"/>
          <w:sz w:val="21"/>
          <w:szCs w:val="21"/>
          <w:highlight w:val="none"/>
        </w:rPr>
        <w:t>）</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）由本投标人承建的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工程</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）由本投标人承接的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服务；</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2、纸质投标文件正本中的本声明函（若有）应为原件。</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3、若《残疾人福利性单位声明函》内容不真实，</w:t>
      </w:r>
      <w:r>
        <w:rPr>
          <w:rStyle w:val="17"/>
          <w:rFonts w:hint="eastAsia" w:ascii="宋体" w:hAnsi="宋体" w:eastAsia="宋体" w:cs="宋体"/>
          <w:b/>
          <w:color w:val="auto"/>
          <w:sz w:val="21"/>
          <w:szCs w:val="21"/>
          <w:highlight w:val="none"/>
        </w:rPr>
        <w:t>视为提供虚假材料。</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二-12其他资格证明文件（若有）</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Fonts w:hint="eastAsia" w:ascii="宋体" w:hAnsi="宋体" w:eastAsia="宋体" w:cs="宋体"/>
          <w:color w:val="auto"/>
          <w:sz w:val="21"/>
          <w:szCs w:val="21"/>
          <w:highlight w:val="none"/>
        </w:rPr>
        <w:t>二</w:t>
      </w:r>
      <w:r>
        <w:rPr>
          <w:rStyle w:val="17"/>
          <w:rFonts w:hint="eastAsia" w:ascii="宋体" w:hAnsi="宋体" w:eastAsia="宋体" w:cs="宋体"/>
          <w:b/>
          <w:color w:val="auto"/>
          <w:sz w:val="21"/>
          <w:szCs w:val="21"/>
          <w:highlight w:val="none"/>
        </w:rPr>
        <w:t>-12-①具备履行合同所必需设备和专业技术能力专项证明材料（若有）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现附上我方具备履行合同所必需的设备和专业技术能力的专项证明材料复印件（具体附后），上述证明材料真实有效，否则我方负全部责任。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1、招标文件要求投标人提供“具备履行合同所必需的设备和专业技术能力专项证明材料”的，投标人应按照招标文件规定在此项下提供相应证明材料复印件。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2、投标人提供的相应证明材料复印件均应符合：内容完整、清晰、整洁，并由投标人加盖其单位公章。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二-12-②招标文件规定的其他资格证明文件（若有）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8" w:name="_Toc1721"/>
      <w:r>
        <w:rPr>
          <w:rFonts w:hint="eastAsia" w:ascii="宋体" w:hAnsi="宋体" w:eastAsia="宋体" w:cs="宋体"/>
          <w:color w:val="auto"/>
          <w:sz w:val="21"/>
          <w:szCs w:val="21"/>
          <w:highlight w:val="none"/>
        </w:rPr>
        <w:t>编制说明</w:t>
      </w:r>
      <w:bookmarkEnd w:id="18"/>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除招标文件另有规定外，招标文件要求提交的除前述资格证明文件外的其他资格证明文件（若有）加盖投标人的单位公章后应在此项下提交。</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19" w:name="_Toc22210"/>
      <w:r>
        <w:rPr>
          <w:rFonts w:hint="eastAsia" w:ascii="宋体" w:hAnsi="宋体" w:eastAsia="宋体" w:cs="宋体"/>
          <w:color w:val="auto"/>
          <w:sz w:val="21"/>
          <w:szCs w:val="21"/>
          <w:highlight w:val="none"/>
        </w:rPr>
        <w:t>三</w:t>
      </w:r>
      <w:r>
        <w:rPr>
          <w:rStyle w:val="17"/>
          <w:rFonts w:hint="eastAsia" w:ascii="宋体" w:hAnsi="宋体" w:eastAsia="宋体" w:cs="宋体"/>
          <w:b/>
          <w:color w:val="auto"/>
          <w:sz w:val="21"/>
          <w:szCs w:val="21"/>
          <w:highlight w:val="none"/>
        </w:rPr>
        <w:t>、投标保证金</w:t>
      </w:r>
      <w:bookmarkEnd w:id="19"/>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20" w:name="_Toc23894"/>
      <w:r>
        <w:rPr>
          <w:rFonts w:hint="eastAsia" w:ascii="宋体" w:hAnsi="宋体" w:eastAsia="宋体" w:cs="宋体"/>
          <w:color w:val="auto"/>
          <w:sz w:val="21"/>
          <w:szCs w:val="21"/>
          <w:highlight w:val="none"/>
        </w:rPr>
        <w:t>编制说明</w:t>
      </w:r>
      <w:bookmarkEnd w:id="20"/>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1、在此项下提交的</w:t>
      </w:r>
      <w:r>
        <w:rPr>
          <w:rStyle w:val="17"/>
          <w:rFonts w:hint="eastAsia" w:ascii="宋体" w:hAnsi="宋体" w:eastAsia="宋体" w:cs="宋体"/>
          <w:b/>
          <w:color w:val="auto"/>
          <w:sz w:val="21"/>
          <w:szCs w:val="21"/>
          <w:highlight w:val="none"/>
        </w:rPr>
        <w:t>“投标保证金”</w:t>
      </w:r>
      <w:r>
        <w:rPr>
          <w:rFonts w:hint="eastAsia" w:ascii="宋体" w:hAnsi="宋体" w:eastAsia="宋体" w:cs="宋体"/>
          <w:color w:val="auto"/>
          <w:sz w:val="21"/>
          <w:szCs w:val="21"/>
          <w:highlight w:val="none"/>
        </w:rPr>
        <w:t>材料可使用转账凭证复印件或从福建省政府采购网上公开信息系统中下载的有关原始页面的打印件。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2、投标保证金是否已提交的认定按照招标文件第三章规定执行。</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21" w:name="_Toc16956"/>
      <w:r>
        <w:rPr>
          <w:rStyle w:val="17"/>
          <w:rFonts w:hint="eastAsia" w:ascii="宋体" w:hAnsi="宋体" w:eastAsia="宋体" w:cs="宋体"/>
          <w:b/>
          <w:color w:val="auto"/>
          <w:sz w:val="28"/>
          <w:szCs w:val="28"/>
          <w:highlight w:val="none"/>
        </w:rPr>
        <w:t>封面格式</w:t>
      </w:r>
      <w:bookmarkEnd w:id="21"/>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48"/>
          <w:szCs w:val="48"/>
          <w:highlight w:val="none"/>
        </w:rPr>
        <w:t>福建省政府采购投标文件</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22" w:name="_Toc21397"/>
      <w:r>
        <w:rPr>
          <w:rStyle w:val="17"/>
          <w:rFonts w:hint="eastAsia" w:ascii="宋体" w:hAnsi="宋体" w:eastAsia="宋体" w:cs="宋体"/>
          <w:b/>
          <w:color w:val="auto"/>
          <w:sz w:val="48"/>
          <w:szCs w:val="48"/>
          <w:highlight w:val="none"/>
        </w:rPr>
        <w:t>（报价部分）</w:t>
      </w:r>
      <w:bookmarkEnd w:id="22"/>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6"/>
          <w:szCs w:val="36"/>
          <w:highlight w:val="none"/>
          <w:u w:val="single"/>
        </w:rPr>
        <w:t>（填写正本或副本）</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项目名称：</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备案编号：</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招标编号：</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所投合同包：</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投标人：</w:t>
      </w:r>
      <w:r>
        <w:rPr>
          <w:rStyle w:val="17"/>
          <w:rFonts w:hint="eastAsia" w:ascii="宋体" w:hAnsi="宋体" w:eastAsia="宋体" w:cs="宋体"/>
          <w:b/>
          <w:color w:val="auto"/>
          <w:sz w:val="31"/>
          <w:szCs w:val="31"/>
          <w:highlight w:val="none"/>
          <w:u w:val="single"/>
        </w:rPr>
        <w:t>（填写“全称”）</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Style w:val="17"/>
          <w:rFonts w:hint="eastAsia" w:ascii="宋体" w:hAnsi="宋体" w:eastAsia="宋体" w:cs="宋体"/>
          <w:b/>
          <w:color w:val="auto"/>
          <w:sz w:val="31"/>
          <w:szCs w:val="31"/>
          <w:highlight w:val="none"/>
          <w:u w:val="single"/>
        </w:rPr>
        <w:t>（由投标人填写）</w:t>
      </w:r>
      <w:r>
        <w:rPr>
          <w:rStyle w:val="17"/>
          <w:rFonts w:hint="eastAsia" w:ascii="宋体" w:hAnsi="宋体" w:eastAsia="宋体" w:cs="宋体"/>
          <w:b/>
          <w:color w:val="auto"/>
          <w:sz w:val="31"/>
          <w:szCs w:val="31"/>
          <w:highlight w:val="none"/>
        </w:rPr>
        <w:t>年</w:t>
      </w:r>
      <w:r>
        <w:rPr>
          <w:rStyle w:val="17"/>
          <w:rFonts w:hint="eastAsia" w:ascii="宋体" w:hAnsi="宋体" w:eastAsia="宋体" w:cs="宋体"/>
          <w:b/>
          <w:color w:val="auto"/>
          <w:sz w:val="31"/>
          <w:szCs w:val="31"/>
          <w:highlight w:val="none"/>
          <w:u w:val="single"/>
        </w:rPr>
        <w:t>（由投标人填写）</w:t>
      </w:r>
      <w:r>
        <w:rPr>
          <w:rStyle w:val="17"/>
          <w:rFonts w:hint="eastAsia" w:ascii="宋体" w:hAnsi="宋体" w:eastAsia="宋体" w:cs="宋体"/>
          <w:b/>
          <w:color w:val="auto"/>
          <w:sz w:val="31"/>
          <w:szCs w:val="31"/>
          <w:highlight w:val="none"/>
        </w:rPr>
        <w:t>月</w:t>
      </w:r>
    </w:p>
    <w:p>
      <w:pPr>
        <w:pStyle w:val="12"/>
        <w:keepNext w:val="0"/>
        <w:keepLines w:val="0"/>
        <w:widowControl/>
        <w:suppressLineNumbers w:val="0"/>
        <w:spacing w:before="0" w:beforeAutospacing="0" w:after="150" w:afterAutospacing="0"/>
        <w:ind w:left="0" w:right="0"/>
        <w:rPr>
          <w:rStyle w:val="17"/>
          <w:rFonts w:hint="eastAsia" w:ascii="宋体" w:hAnsi="宋体" w:eastAsia="宋体" w:cs="宋体"/>
          <w:b/>
          <w:color w:val="auto"/>
          <w:sz w:val="28"/>
          <w:szCs w:val="28"/>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23" w:name="_Toc8603"/>
      <w:r>
        <w:rPr>
          <w:rStyle w:val="17"/>
          <w:rFonts w:hint="eastAsia" w:ascii="宋体" w:hAnsi="宋体" w:eastAsia="宋体" w:cs="宋体"/>
          <w:b/>
          <w:color w:val="auto"/>
          <w:sz w:val="28"/>
          <w:szCs w:val="28"/>
          <w:highlight w:val="none"/>
        </w:rPr>
        <w:t>索引</w:t>
      </w:r>
      <w:bookmarkEnd w:id="23"/>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24" w:name="_Toc10955"/>
      <w:r>
        <w:rPr>
          <w:rFonts w:hint="eastAsia" w:ascii="宋体" w:hAnsi="宋体" w:eastAsia="宋体" w:cs="宋体"/>
          <w:color w:val="auto"/>
          <w:sz w:val="28"/>
          <w:szCs w:val="28"/>
          <w:highlight w:val="none"/>
        </w:rPr>
        <w:t>一、开标一览表</w:t>
      </w:r>
      <w:bookmarkEnd w:id="24"/>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25" w:name="_Toc2343"/>
      <w:r>
        <w:rPr>
          <w:rFonts w:hint="eastAsia" w:ascii="宋体" w:hAnsi="宋体" w:eastAsia="宋体" w:cs="宋体"/>
          <w:color w:val="auto"/>
          <w:sz w:val="28"/>
          <w:szCs w:val="28"/>
          <w:highlight w:val="none"/>
        </w:rPr>
        <w:t>二、投标分项报价表</w:t>
      </w:r>
      <w:bookmarkEnd w:id="25"/>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26" w:name="_Toc17726"/>
      <w:r>
        <w:rPr>
          <w:rFonts w:hint="eastAsia" w:ascii="宋体" w:hAnsi="宋体" w:eastAsia="宋体" w:cs="宋体"/>
          <w:color w:val="auto"/>
          <w:sz w:val="28"/>
          <w:szCs w:val="28"/>
          <w:highlight w:val="none"/>
        </w:rPr>
        <w:t>三、招标文件规定的价格扣除证明材料（若有）</w:t>
      </w:r>
      <w:bookmarkEnd w:id="26"/>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27" w:name="_Toc31913"/>
      <w:r>
        <w:rPr>
          <w:rFonts w:hint="eastAsia" w:ascii="宋体" w:hAnsi="宋体" w:eastAsia="宋体" w:cs="宋体"/>
          <w:color w:val="auto"/>
          <w:sz w:val="28"/>
          <w:szCs w:val="28"/>
          <w:highlight w:val="none"/>
        </w:rPr>
        <w:t>四、招标文件规定的加分证明材料（若有）</w:t>
      </w:r>
      <w:bookmarkEnd w:id="27"/>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sectPr>
          <w:pgSz w:w="11906" w:h="16838"/>
          <w:pgMar w:top="1440" w:right="1800" w:bottom="1440" w:left="1800" w:header="851" w:footer="992" w:gutter="0"/>
          <w:cols w:space="425" w:num="1"/>
          <w:docGrid w:type="lines" w:linePitch="312" w:charSpace="0"/>
        </w:sectPr>
      </w:pP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28" w:name="_Toc32711"/>
      <w:r>
        <w:rPr>
          <w:rStyle w:val="17"/>
          <w:rFonts w:hint="eastAsia" w:ascii="宋体" w:hAnsi="宋体" w:eastAsia="宋体" w:cs="宋体"/>
          <w:b/>
          <w:color w:val="auto"/>
          <w:sz w:val="21"/>
          <w:szCs w:val="21"/>
          <w:highlight w:val="none"/>
        </w:rPr>
        <w:t>一、开标一览表</w:t>
      </w:r>
      <w:bookmarkEnd w:id="28"/>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5"/>
        <w:tblW w:w="86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76"/>
        <w:gridCol w:w="4710"/>
        <w:gridCol w:w="1100"/>
        <w:gridCol w:w="1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0"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投标报价</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保证金</w:t>
            </w:r>
          </w:p>
        </w:tc>
        <w:tc>
          <w:tcPr>
            <w:tcW w:w="173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372"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lang w:eastAsia="zh-CN"/>
              </w:rPr>
              <w:t xml:space="preserve">         </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7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a.投标报价的明细：详见《投标分项报价表》。</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497"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lang w:eastAsia="zh-CN"/>
              </w:rPr>
              <w:t xml:space="preserve">          </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7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1.1投标人应按照本表格式填写所投的合同包的“投标报价”。</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1.2本表中列示的“合同包”应与《投标分项报价表》中列示的“合同包”保持一致，即：若本表中列示的“合同包”为“1”时，《投标分项报价表》中列示的“合同包”亦应为“1”，以此类推。</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1.3“大写金额”指“投标报价”应用“壹、贰、叁、肆、伍、陆、柒、捌、玖、拾、佰、仟、万、亿、元、角、分、零”等进行填写。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2、纸质投标文件正本中的本表应为原件。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29" w:name="_Toc29953"/>
      <w:r>
        <w:rPr>
          <w:rStyle w:val="17"/>
          <w:rFonts w:hint="eastAsia" w:ascii="宋体" w:hAnsi="宋体" w:eastAsia="宋体" w:cs="宋体"/>
          <w:b/>
          <w:color w:val="auto"/>
          <w:sz w:val="21"/>
          <w:szCs w:val="21"/>
          <w:highlight w:val="none"/>
        </w:rPr>
        <w:t>二、投标分项报价表</w:t>
      </w:r>
      <w:bookmarkEnd w:id="29"/>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2"/>
        <w:gridCol w:w="958"/>
        <w:gridCol w:w="1556"/>
        <w:gridCol w:w="1272"/>
        <w:gridCol w:w="854"/>
        <w:gridCol w:w="989"/>
        <w:gridCol w:w="570"/>
        <w:gridCol w:w="1093"/>
        <w:gridCol w:w="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2"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556"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投标标的</w:t>
            </w: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规格</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来源地</w:t>
            </w:r>
          </w:p>
        </w:tc>
        <w:tc>
          <w:tcPr>
            <w:tcW w:w="989"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09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806"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5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9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0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80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5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9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0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80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5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9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0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80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1.2“投标标的”为货物的：</w:t>
      </w:r>
      <w:r>
        <w:rPr>
          <w:rStyle w:val="17"/>
          <w:rFonts w:hint="eastAsia" w:ascii="宋体" w:hAnsi="宋体" w:eastAsia="宋体" w:cs="宋体"/>
          <w:b/>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17"/>
          <w:rFonts w:hint="eastAsia" w:ascii="宋体" w:hAnsi="宋体" w:eastAsia="宋体" w:cs="宋体"/>
          <w:b/>
          <w:color w:val="auto"/>
          <w:sz w:val="21"/>
          <w:szCs w:val="21"/>
          <w:highlight w:val="none"/>
        </w:rPr>
        <w:t>“来源地”</w:t>
      </w:r>
      <w:r>
        <w:rPr>
          <w:rFonts w:hint="eastAsia" w:ascii="宋体" w:hAnsi="宋体" w:eastAsia="宋体" w:cs="宋体"/>
          <w:color w:val="auto"/>
          <w:sz w:val="21"/>
          <w:szCs w:val="21"/>
          <w:highlight w:val="none"/>
        </w:rPr>
        <w:t>应填写货物的原产地。</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1.3“投标标的”为服务的：</w:t>
      </w:r>
      <w:r>
        <w:rPr>
          <w:rStyle w:val="17"/>
          <w:rFonts w:hint="eastAsia" w:ascii="宋体" w:hAnsi="宋体" w:eastAsia="宋体" w:cs="宋体"/>
          <w:b/>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17"/>
          <w:rFonts w:hint="eastAsia" w:ascii="宋体" w:hAnsi="宋体" w:eastAsia="宋体" w:cs="宋体"/>
          <w:b/>
          <w:color w:val="auto"/>
          <w:sz w:val="21"/>
          <w:szCs w:val="21"/>
          <w:highlight w:val="none"/>
        </w:rPr>
        <w:t>“来源地”</w:t>
      </w:r>
      <w:r>
        <w:rPr>
          <w:rFonts w:hint="eastAsia" w:ascii="宋体" w:hAnsi="宋体" w:eastAsia="宋体" w:cs="宋体"/>
          <w:color w:val="auto"/>
          <w:sz w:val="21"/>
          <w:szCs w:val="21"/>
          <w:highlight w:val="none"/>
        </w:rPr>
        <w:t>应填写服务提供者的所在地。</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1.4同一合同包中，</w:t>
      </w:r>
      <w:r>
        <w:rPr>
          <w:rStyle w:val="17"/>
          <w:rFonts w:hint="eastAsia" w:ascii="宋体" w:hAnsi="宋体" w:eastAsia="宋体" w:cs="宋体"/>
          <w:b/>
          <w:color w:val="auto"/>
          <w:sz w:val="21"/>
          <w:szCs w:val="21"/>
          <w:highlight w:val="none"/>
        </w:rPr>
        <w:t>“单价（现场）”</w:t>
      </w:r>
      <w:r>
        <w:rPr>
          <w:rFonts w:hint="eastAsia" w:ascii="宋体" w:hAnsi="宋体" w:eastAsia="宋体" w:cs="宋体"/>
          <w:color w:val="auto"/>
          <w:sz w:val="21"/>
          <w:szCs w:val="21"/>
          <w:highlight w:val="none"/>
        </w:rPr>
        <w:t>×</w:t>
      </w:r>
      <w:r>
        <w:rPr>
          <w:rStyle w:val="17"/>
          <w:rFonts w:hint="eastAsia" w:ascii="宋体" w:hAnsi="宋体" w:eastAsia="宋体" w:cs="宋体"/>
          <w:b/>
          <w:color w:val="auto"/>
          <w:sz w:val="21"/>
          <w:szCs w:val="21"/>
          <w:highlight w:val="none"/>
        </w:rPr>
        <w:t>“数量”</w:t>
      </w:r>
      <w:r>
        <w:rPr>
          <w:rFonts w:hint="eastAsia" w:ascii="宋体" w:hAnsi="宋体" w:eastAsia="宋体" w:cs="宋体"/>
          <w:color w:val="auto"/>
          <w:sz w:val="21"/>
          <w:szCs w:val="21"/>
          <w:highlight w:val="none"/>
        </w:rPr>
        <w:t>=</w:t>
      </w:r>
      <w:r>
        <w:rPr>
          <w:rStyle w:val="17"/>
          <w:rFonts w:hint="eastAsia" w:ascii="宋体" w:hAnsi="宋体" w:eastAsia="宋体" w:cs="宋体"/>
          <w:b/>
          <w:color w:val="auto"/>
          <w:sz w:val="21"/>
          <w:szCs w:val="21"/>
          <w:highlight w:val="none"/>
        </w:rPr>
        <w:t>“总价（现场）”</w:t>
      </w:r>
      <w:r>
        <w:rPr>
          <w:rFonts w:hint="eastAsia" w:ascii="宋体" w:hAnsi="宋体" w:eastAsia="宋体" w:cs="宋体"/>
          <w:color w:val="auto"/>
          <w:sz w:val="21"/>
          <w:szCs w:val="21"/>
          <w:highlight w:val="none"/>
        </w:rPr>
        <w:t>，全部品目号</w:t>
      </w:r>
      <w:r>
        <w:rPr>
          <w:rStyle w:val="17"/>
          <w:rFonts w:hint="eastAsia" w:ascii="宋体" w:hAnsi="宋体" w:eastAsia="宋体" w:cs="宋体"/>
          <w:b/>
          <w:color w:val="auto"/>
          <w:sz w:val="21"/>
          <w:szCs w:val="21"/>
          <w:highlight w:val="none"/>
        </w:rPr>
        <w:t>“总价（现场）”</w:t>
      </w:r>
      <w:r>
        <w:rPr>
          <w:rFonts w:hint="eastAsia" w:ascii="宋体" w:hAnsi="宋体" w:eastAsia="宋体" w:cs="宋体"/>
          <w:color w:val="auto"/>
          <w:sz w:val="21"/>
          <w:szCs w:val="21"/>
          <w:highlight w:val="none"/>
        </w:rPr>
        <w:t>的合计金额应与《开标一览表》中相应合同包列示的</w:t>
      </w:r>
      <w:r>
        <w:rPr>
          <w:rStyle w:val="17"/>
          <w:rFonts w:hint="eastAsia" w:ascii="宋体" w:hAnsi="宋体" w:eastAsia="宋体" w:cs="宋体"/>
          <w:b/>
          <w:color w:val="auto"/>
          <w:sz w:val="21"/>
          <w:szCs w:val="21"/>
          <w:highlight w:val="none"/>
        </w:rPr>
        <w:t>“投标总价”</w:t>
      </w:r>
      <w:r>
        <w:rPr>
          <w:rFonts w:hint="eastAsia" w:ascii="宋体" w:hAnsi="宋体" w:eastAsia="宋体" w:cs="宋体"/>
          <w:color w:val="auto"/>
          <w:sz w:val="21"/>
          <w:szCs w:val="21"/>
          <w:highlight w:val="none"/>
        </w:rPr>
        <w:t>保持一致。</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1.5若招标文件要求投标人对“备品备件价格、专用工具价格、技术服务费、安装调试费、检验培训费、运输费、保险费、税收”等进行报价的，请在本表的</w:t>
      </w:r>
      <w:r>
        <w:rPr>
          <w:rStyle w:val="17"/>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项下填写。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2、纸质投标文件正本中的本表应为原件。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0" w:name="_Toc27017"/>
      <w:r>
        <w:rPr>
          <w:rStyle w:val="17"/>
          <w:rFonts w:hint="eastAsia" w:ascii="宋体" w:hAnsi="宋体" w:eastAsia="宋体" w:cs="宋体"/>
          <w:b/>
          <w:color w:val="auto"/>
          <w:sz w:val="21"/>
          <w:szCs w:val="21"/>
          <w:highlight w:val="none"/>
        </w:rPr>
        <w:t>三、招标文件规定的价格扣除证明材料（若有）</w:t>
      </w:r>
      <w:bookmarkEnd w:id="30"/>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三-1优先类节能产品、环境标志产品价格扣除证明材料（若有）</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三-1-①优先类节能产品、环境标志产品统计表（价格扣除适用，若有）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5"/>
        <w:tblW w:w="88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63"/>
        <w:gridCol w:w="1263"/>
        <w:gridCol w:w="1264"/>
        <w:gridCol w:w="1263"/>
        <w:gridCol w:w="1264"/>
        <w:gridCol w:w="1263"/>
        <w:gridCol w:w="1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3"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7597"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6"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货物名称</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40"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597"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c.“合同包内属于节能、环境标志产品的报价总金额”占“合同包投标总价（报价总金额）”的比例（以%列示）：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1、对节能、环境标志产品计算价格扣除时，只依据投标文件</w:t>
      </w:r>
      <w:r>
        <w:rPr>
          <w:rStyle w:val="17"/>
          <w:rFonts w:hint="eastAsia" w:ascii="宋体" w:hAnsi="宋体" w:eastAsia="宋体" w:cs="宋体"/>
          <w:b/>
          <w:color w:val="auto"/>
          <w:sz w:val="21"/>
          <w:szCs w:val="21"/>
          <w:highlight w:val="none"/>
        </w:rPr>
        <w:t>“三-1-②优先类节能产品、环境标志产品证明材料（价格扣除适用，若有）”。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3、具体统计、计算：</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3.4若无节能、环境标志产品，不填写本表，否则，</w:t>
      </w:r>
      <w:r>
        <w:rPr>
          <w:rStyle w:val="17"/>
          <w:rFonts w:hint="eastAsia" w:ascii="宋体" w:hAnsi="宋体" w:eastAsia="宋体" w:cs="宋体"/>
          <w:b/>
          <w:color w:val="auto"/>
          <w:sz w:val="21"/>
          <w:szCs w:val="21"/>
          <w:highlight w:val="none"/>
        </w:rPr>
        <w:t>视为提供虚假材料。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4、纸质投标文件正本中的本表（若有）应为原件。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三-1-②优先类节能产品、环境标志产品证明材料（价格扣除适用，若有）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1" w:name="_Toc24446"/>
      <w:r>
        <w:rPr>
          <w:rFonts w:hint="eastAsia" w:ascii="宋体" w:hAnsi="宋体" w:eastAsia="宋体" w:cs="宋体"/>
          <w:color w:val="auto"/>
          <w:sz w:val="21"/>
          <w:szCs w:val="21"/>
          <w:highlight w:val="none"/>
        </w:rPr>
        <w:t>编制说明</w:t>
      </w:r>
      <w:bookmarkEnd w:id="31"/>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除招标文件另有规定外，投标人应按照招标文件第二章（表1）第13项规定提供相应证明材料。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三-2小型、微型企业产品等价格扣除证明材料（若有）</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三-2-①小型、微型企业产品等统计表（价格扣除适用，若有）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合同包内属于小型、微型企业产品等的报价总金额：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1、对小型、微型企业产品等计算价格扣除时，只依据投标文件</w:t>
      </w:r>
      <w:r>
        <w:rPr>
          <w:rStyle w:val="17"/>
          <w:rFonts w:hint="eastAsia" w:ascii="宋体" w:hAnsi="宋体" w:eastAsia="宋体" w:cs="宋体"/>
          <w:b/>
          <w:color w:val="auto"/>
          <w:sz w:val="21"/>
          <w:szCs w:val="21"/>
          <w:highlight w:val="none"/>
        </w:rPr>
        <w:t>“三-2-②中小企业声明函（价格扣除适用，若有）”及“三-2-③小型、微型企业等证明材料（价格扣除适用，若有）”。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2"/>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7"/>
          <w:rFonts w:hint="eastAsia" w:ascii="宋体" w:hAnsi="宋体" w:eastAsia="宋体" w:cs="宋体"/>
          <w:b/>
          <w:color w:val="auto"/>
          <w:sz w:val="21"/>
          <w:szCs w:val="21"/>
          <w:highlight w:val="none"/>
          <w:shd w:val="clear" w:fill="FFFFFF"/>
        </w:rPr>
        <w:t>可享受价格扣除。</w:t>
      </w:r>
    </w:p>
    <w:p>
      <w:pPr>
        <w:pStyle w:val="12"/>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4、纸质投标文件正本中的本表（若有）应为原件。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三-2-②中小企业声明函（价格扣除适用，若有）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firstLine="420"/>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中小企业声明函（货物）</w:t>
      </w:r>
    </w:p>
    <w:p>
      <w:pPr>
        <w:pStyle w:val="12"/>
        <w:keepNext w:val="0"/>
        <w:keepLines w:val="0"/>
        <w:widowControl/>
        <w:suppressLineNumbers w:val="0"/>
        <w:spacing w:before="75" w:beforeAutospacing="0" w:after="75" w:afterAutospacing="0"/>
        <w:ind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本公司（联合体）郑重声明，根据《政府采购促进中小企业发展管理办法》（财库﹝2020﹞46</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号）的规定，本公司（联合体）参加（单位名称）的（项目名称）采购活动，提供的货物全部由符合政策要求的中小企业制造。相关企业（含联合体中的中小企业、签订分包意向协议的中小企业）</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1.</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（标的名称）</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，属于（采购文件中明确的所属行业）行业；制造商为（企业名称），从业人员</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，属于（中型企业、小型企业、微型企业）；</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2.</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（标的名称）</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属</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于</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（采购文件中明确的所属行业</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）行业；制造商为（企业名称），从业人员</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万元，属于（中型企业、小型企业、微型企业）；</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lang w:eastAsia="zh-CN"/>
        </w:rPr>
        <w:t xml:space="preserve">  </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p>
    <w:p>
      <w:pPr>
        <w:pStyle w:val="12"/>
        <w:keepNext w:val="0"/>
        <w:keepLines w:val="0"/>
        <w:widowControl/>
        <w:suppressLineNumbers w:val="0"/>
        <w:spacing w:before="75" w:beforeAutospacing="0" w:after="75" w:afterAutospacing="0"/>
        <w:ind w:right="0"/>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企业名称（盖章）：</w:t>
      </w:r>
      <w:r>
        <w:rPr>
          <w:rFonts w:hint="eastAsia" w:ascii="宋体" w:hAnsi="宋体" w:eastAsia="宋体" w:cs="宋体"/>
          <w:color w:val="auto"/>
          <w:spacing w:val="0"/>
          <w:sz w:val="21"/>
          <w:szCs w:val="21"/>
          <w:highlight w:val="none"/>
          <w:lang w:eastAsia="zh-CN"/>
        </w:rPr>
        <w:t xml:space="preserve">        </w:t>
      </w:r>
    </w:p>
    <w:p>
      <w:pPr>
        <w:pStyle w:val="12"/>
        <w:keepNext w:val="0"/>
        <w:keepLines w:val="0"/>
        <w:widowControl/>
        <w:suppressLineNumbers w:val="0"/>
        <w:spacing w:before="75" w:beforeAutospacing="0" w:after="75" w:afterAutospacing="0"/>
        <w:ind w:right="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1从业人员、营业收入、资产总额填报上一年度数据，无上一年度数据的新成立企业可不填报。</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br w:type="textWrapping"/>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br w:type="page"/>
      </w:r>
    </w:p>
    <w:p>
      <w:pPr>
        <w:pStyle w:val="12"/>
        <w:keepNext w:val="0"/>
        <w:keepLines w:val="0"/>
        <w:widowControl/>
        <w:suppressLineNumbers w:val="0"/>
        <w:spacing w:before="75" w:beforeAutospacing="0" w:after="75" w:afterAutospacing="0"/>
        <w:ind w:left="0" w:right="0" w:firstLine="42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4"/>
          <w:szCs w:val="24"/>
          <w:highlight w:val="none"/>
        </w:rPr>
        <w:t>中小企业声明函（工程、服务</w:t>
      </w:r>
      <w:r>
        <w:rPr>
          <w:rFonts w:hint="eastAsia" w:ascii="宋体" w:hAnsi="宋体" w:eastAsia="宋体" w:cs="宋体"/>
          <w:color w:val="auto"/>
          <w:spacing w:val="0"/>
          <w:sz w:val="21"/>
          <w:szCs w:val="21"/>
          <w:highlight w:val="none"/>
        </w:rPr>
        <w:t>）</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本公司（联合体）郑重声明，根据《政府采购促进中小企业发展管理办法》（财库﹝2020﹞46</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号）的规定，本公司（联合体）参加</w:t>
      </w:r>
      <w:r>
        <w:rPr>
          <w:rFonts w:hint="eastAsia" w:ascii="宋体" w:hAnsi="宋体" w:eastAsia="宋体" w:cs="宋体"/>
          <w:color w:val="auto"/>
          <w:spacing w:val="0"/>
          <w:sz w:val="21"/>
          <w:szCs w:val="21"/>
          <w:highlight w:val="none"/>
          <w:u w:val="single"/>
        </w:rPr>
        <w:t>（单位名称）</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（项目名称）</w:t>
      </w:r>
      <w:r>
        <w:rPr>
          <w:rFonts w:hint="eastAsia" w:ascii="宋体" w:hAnsi="宋体" w:eastAsia="宋体" w:cs="宋体"/>
          <w:color w:val="auto"/>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1.</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（标的名称），属于（采购文件中明确的所属行业）；承建（承接）企业为（企业名称），从业人员</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，属于（中型企业、小型企业、微型企业）；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2.</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（标的名称），属于（采购文件中明确的所属行业）；承建（承接）企业为（企业名称），从业人员</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万元，属于（中型企业、小型企业、微型企业）；</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pacing w:val="0"/>
          <w:sz w:val="21"/>
          <w:szCs w:val="21"/>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企业名称（盖章）：</w:t>
      </w:r>
      <w:r>
        <w:rPr>
          <w:rFonts w:hint="eastAsia" w:ascii="宋体" w:hAnsi="宋体" w:eastAsia="宋体" w:cs="宋体"/>
          <w:color w:val="auto"/>
          <w:spacing w:val="0"/>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日期：</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pacing w:val="0"/>
          <w:sz w:val="21"/>
          <w:szCs w:val="21"/>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eastAsia="zh-CN"/>
        </w:rPr>
        <w:t xml:space="preserve"> </w:t>
      </w:r>
      <w:r>
        <w:rPr>
          <w:rFonts w:hint="eastAsia" w:ascii="宋体" w:hAnsi="宋体" w:eastAsia="宋体" w:cs="宋体"/>
          <w:color w:val="auto"/>
          <w:spacing w:val="0"/>
          <w:sz w:val="21"/>
          <w:szCs w:val="21"/>
          <w:highlight w:val="none"/>
        </w:rPr>
        <w:t>1从业人员、营业收入、资产总额填报上一年度数据，无上一年度数据的新成立企业可不填报。</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三-2-③小型、微型企业等证明材料（价格扣除适用，若有）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2" w:name="_Toc21094"/>
      <w:r>
        <w:rPr>
          <w:rFonts w:hint="eastAsia" w:ascii="宋体" w:hAnsi="宋体" w:eastAsia="宋体" w:cs="宋体"/>
          <w:color w:val="auto"/>
          <w:sz w:val="21"/>
          <w:szCs w:val="21"/>
          <w:highlight w:val="none"/>
        </w:rPr>
        <w:t>编制说明</w:t>
      </w:r>
      <w:bookmarkEnd w:id="32"/>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1、投标人应按照招标文件要求提供相应证明材料，证明材料应与《中小企业声明函》的内容相一致，否则视为《中小企业声明函》内容不真实。</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附：</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残疾人福利性单位声明函（价格扣除适用，若有）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本投标人郑重声明，根据《财政部</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民政部</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）提供本投标人制造的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highlight w:val="none"/>
          <w:shd w:val="clear" w:fill="FFFFFF"/>
        </w:rPr>
        <w:t>★</w:t>
      </w:r>
      <w:r>
        <w:rPr>
          <w:rFonts w:hint="eastAsia" w:ascii="宋体" w:hAnsi="宋体" w:eastAsia="宋体" w:cs="宋体"/>
          <w:color w:val="auto"/>
          <w:sz w:val="21"/>
          <w:szCs w:val="21"/>
          <w:highlight w:val="none"/>
        </w:rPr>
        <w:t>）</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）由本投标人承建的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工程</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）由本投标人承接的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服务；</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2"/>
        <w:keepNext w:val="0"/>
        <w:keepLines w:val="0"/>
        <w:widowControl/>
        <w:suppressLineNumbers w:val="0"/>
        <w:spacing w:before="75" w:beforeAutospacing="0" w:after="75"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2、纸质投标文件正本中的本声明函（若有）应为原件。</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3、若《残疾人福利性单位声明函》内容不真实，</w:t>
      </w:r>
      <w:r>
        <w:rPr>
          <w:rStyle w:val="17"/>
          <w:rFonts w:hint="eastAsia" w:ascii="宋体" w:hAnsi="宋体" w:eastAsia="宋体" w:cs="宋体"/>
          <w:b/>
          <w:color w:val="auto"/>
          <w:sz w:val="21"/>
          <w:szCs w:val="21"/>
          <w:highlight w:val="none"/>
        </w:rPr>
        <w:t>视为提供虚假材料。</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75" w:beforeAutospacing="0" w:after="75"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三-3招标文件规定的其他价格扣除证明材料（若有）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3" w:name="_Toc19715"/>
      <w:r>
        <w:rPr>
          <w:rFonts w:hint="eastAsia" w:ascii="宋体" w:hAnsi="宋体" w:eastAsia="宋体" w:cs="宋体"/>
          <w:color w:val="auto"/>
          <w:sz w:val="21"/>
          <w:szCs w:val="21"/>
          <w:highlight w:val="none"/>
        </w:rPr>
        <w:t>编制说明</w:t>
      </w:r>
      <w:bookmarkEnd w:id="33"/>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若投标人可享受招标文件规定的除</w:t>
      </w:r>
      <w:r>
        <w:rPr>
          <w:rStyle w:val="17"/>
          <w:rFonts w:hint="eastAsia" w:ascii="宋体" w:hAnsi="宋体" w:eastAsia="宋体" w:cs="宋体"/>
          <w:b/>
          <w:color w:val="auto"/>
          <w:sz w:val="21"/>
          <w:szCs w:val="21"/>
          <w:highlight w:val="none"/>
        </w:rPr>
        <w:t>“节能（非强制类）、环境标志产品价格扣除”及“小型、微型企业产品等价格扣除”</w:t>
      </w:r>
      <w:r>
        <w:rPr>
          <w:rFonts w:hint="eastAsia" w:ascii="宋体" w:hAnsi="宋体" w:eastAsia="宋体" w:cs="宋体"/>
          <w:color w:val="auto"/>
          <w:sz w:val="21"/>
          <w:szCs w:val="21"/>
          <w:highlight w:val="none"/>
        </w:rPr>
        <w:t>外的其他价格扣除优惠，则投标人应按照招标文件要求提供相应证明材料。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4" w:name="_Toc11804"/>
      <w:r>
        <w:rPr>
          <w:rStyle w:val="17"/>
          <w:rFonts w:hint="eastAsia" w:ascii="宋体" w:hAnsi="宋体" w:eastAsia="宋体" w:cs="宋体"/>
          <w:b/>
          <w:color w:val="auto"/>
          <w:sz w:val="21"/>
          <w:szCs w:val="21"/>
          <w:highlight w:val="none"/>
        </w:rPr>
        <w:t>四、招标文件规定的加分证明材料（若有）</w:t>
      </w:r>
      <w:bookmarkEnd w:id="34"/>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四-1优先类节能产品、环境标志产品加分证明材料（若有）</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四-1-①优先类节能产品、环境标志产品统计表（加分适用，若有）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c.“合同包内属于节能、环境标志产品的报价总金额”占“合同包投标总价（报价总金额）”的比例（以%列示）：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w:t>
            </w: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1、对节能、环境标志产品计算加分时，只依据投标文件</w:t>
      </w:r>
      <w:r>
        <w:rPr>
          <w:rStyle w:val="17"/>
          <w:rFonts w:hint="eastAsia" w:ascii="宋体" w:hAnsi="宋体" w:eastAsia="宋体" w:cs="宋体"/>
          <w:b/>
          <w:color w:val="auto"/>
          <w:sz w:val="21"/>
          <w:szCs w:val="21"/>
          <w:highlight w:val="none"/>
        </w:rPr>
        <w:t>“四-1-②优先类节能产品、环境标志产品加分证明材料（加分适用，若有）”。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3、具体统计、计算：</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3.4若无节能、环境标志产品，不填写本表，否则，</w:t>
      </w:r>
      <w:r>
        <w:rPr>
          <w:rStyle w:val="17"/>
          <w:rFonts w:hint="eastAsia" w:ascii="宋体" w:hAnsi="宋体" w:eastAsia="宋体" w:cs="宋体"/>
          <w:b/>
          <w:color w:val="auto"/>
          <w:sz w:val="21"/>
          <w:szCs w:val="21"/>
          <w:highlight w:val="none"/>
        </w:rPr>
        <w:t>视为提供虚假材料</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4、纸质投标文件正本中的本表（若有）应为原件。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3"/>
        <w:rPr>
          <w:rFonts w:hint="eastAsia" w:ascii="宋体" w:hAnsi="宋体" w:eastAsia="宋体" w:cs="宋体"/>
          <w:color w:val="auto"/>
          <w:highlight w:val="none"/>
        </w:rPr>
      </w:pPr>
      <w:r>
        <w:rPr>
          <w:rStyle w:val="17"/>
          <w:rFonts w:hint="eastAsia" w:ascii="宋体" w:hAnsi="宋体" w:eastAsia="宋体" w:cs="宋体"/>
          <w:b/>
          <w:color w:val="auto"/>
          <w:sz w:val="21"/>
          <w:szCs w:val="21"/>
          <w:highlight w:val="none"/>
        </w:rPr>
        <w:t>四-1-②优先类节能产品、环境标志产品证明材料（加分适用，若有）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Style w:val="17"/>
          <w:rFonts w:hint="eastAsia" w:ascii="宋体" w:hAnsi="宋体" w:eastAsia="宋体" w:cs="宋体"/>
          <w:b/>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5" w:name="_Toc30519"/>
      <w:r>
        <w:rPr>
          <w:rFonts w:hint="eastAsia" w:ascii="宋体" w:hAnsi="宋体" w:eastAsia="宋体" w:cs="宋体"/>
          <w:color w:val="auto"/>
          <w:sz w:val="21"/>
          <w:szCs w:val="21"/>
          <w:highlight w:val="none"/>
        </w:rPr>
        <w:t>编制说明</w:t>
      </w:r>
      <w:bookmarkEnd w:id="35"/>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除招标文件另有规定外，投标人应按照招标文件第二章（表1）第13项规定提供相应证明材料。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2"/>
        <w:rPr>
          <w:rFonts w:hint="eastAsia" w:ascii="宋体" w:hAnsi="宋体" w:eastAsia="宋体" w:cs="宋体"/>
          <w:color w:val="auto"/>
          <w:highlight w:val="none"/>
        </w:rPr>
      </w:pPr>
      <w:r>
        <w:rPr>
          <w:rFonts w:hint="eastAsia" w:ascii="宋体" w:hAnsi="宋体" w:eastAsia="宋体" w:cs="宋体"/>
          <w:color w:val="auto"/>
          <w:sz w:val="21"/>
          <w:szCs w:val="21"/>
          <w:highlight w:val="none"/>
        </w:rPr>
        <w:t>四</w:t>
      </w:r>
      <w:r>
        <w:rPr>
          <w:rStyle w:val="17"/>
          <w:rFonts w:hint="eastAsia" w:ascii="宋体" w:hAnsi="宋体" w:eastAsia="宋体" w:cs="宋体"/>
          <w:b/>
          <w:color w:val="auto"/>
          <w:sz w:val="21"/>
          <w:szCs w:val="21"/>
          <w:highlight w:val="none"/>
        </w:rPr>
        <w:t>-2招标文件规定的其他加分证明材料（若有）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6" w:name="_Toc31011"/>
      <w:r>
        <w:rPr>
          <w:rFonts w:hint="eastAsia" w:ascii="宋体" w:hAnsi="宋体" w:eastAsia="宋体" w:cs="宋体"/>
          <w:color w:val="auto"/>
          <w:sz w:val="21"/>
          <w:szCs w:val="21"/>
          <w:highlight w:val="none"/>
        </w:rPr>
        <w:t>编制说明</w:t>
      </w:r>
      <w:bookmarkEnd w:id="36"/>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若投标人可享受招标文件规定的除</w:t>
      </w:r>
      <w:r>
        <w:rPr>
          <w:rStyle w:val="17"/>
          <w:rFonts w:hint="eastAsia" w:ascii="宋体" w:hAnsi="宋体" w:eastAsia="宋体" w:cs="宋体"/>
          <w:b/>
          <w:color w:val="auto"/>
          <w:sz w:val="21"/>
          <w:szCs w:val="21"/>
          <w:highlight w:val="none"/>
        </w:rPr>
        <w:t>“优先类节能产品、环境标志产品加分”</w:t>
      </w:r>
      <w:r>
        <w:rPr>
          <w:rFonts w:hint="eastAsia" w:ascii="宋体" w:hAnsi="宋体" w:eastAsia="宋体" w:cs="宋体"/>
          <w:color w:val="auto"/>
          <w:sz w:val="21"/>
          <w:szCs w:val="21"/>
          <w:highlight w:val="none"/>
        </w:rPr>
        <w:t>外的其他加分优惠，则投标人应按照招标文件要求提供相应证明材料。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highlight w:val="none"/>
        </w:rPr>
      </w:pP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7" w:name="_Toc13396"/>
      <w:r>
        <w:rPr>
          <w:rStyle w:val="17"/>
          <w:rFonts w:hint="eastAsia" w:ascii="宋体" w:hAnsi="宋体" w:eastAsia="宋体" w:cs="宋体"/>
          <w:b/>
          <w:color w:val="auto"/>
          <w:sz w:val="28"/>
          <w:szCs w:val="28"/>
          <w:highlight w:val="none"/>
        </w:rPr>
        <w:t>封面格式</w:t>
      </w:r>
      <w:bookmarkEnd w:id="37"/>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48"/>
          <w:szCs w:val="48"/>
          <w:highlight w:val="none"/>
        </w:rPr>
        <w:t>福建省政府采购投标文件</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8" w:name="_Toc30163"/>
      <w:r>
        <w:rPr>
          <w:rStyle w:val="17"/>
          <w:rFonts w:hint="eastAsia" w:ascii="宋体" w:hAnsi="宋体" w:eastAsia="宋体" w:cs="宋体"/>
          <w:b/>
          <w:color w:val="auto"/>
          <w:sz w:val="48"/>
          <w:szCs w:val="48"/>
          <w:highlight w:val="none"/>
        </w:rPr>
        <w:t>（技术商务部分）</w:t>
      </w:r>
      <w:bookmarkEnd w:id="38"/>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6"/>
          <w:szCs w:val="36"/>
          <w:highlight w:val="none"/>
          <w:u w:val="single"/>
        </w:rPr>
        <w:t>（填写正本或副本）</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项目名称：</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备案编号：</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招标编号：</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firstLine="1920"/>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所投合同包：</w:t>
      </w:r>
      <w:r>
        <w:rPr>
          <w:rStyle w:val="17"/>
          <w:rFonts w:hint="eastAsia" w:ascii="宋体" w:hAnsi="宋体" w:eastAsia="宋体" w:cs="宋体"/>
          <w:b/>
          <w:color w:val="auto"/>
          <w:sz w:val="31"/>
          <w:szCs w:val="31"/>
          <w:highlight w:val="none"/>
          <w:u w:val="single"/>
        </w:rPr>
        <w:t>（由投标人填写）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36"/>
          <w:szCs w:val="36"/>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rPr>
        <w:t>投标人：</w:t>
      </w:r>
      <w:r>
        <w:rPr>
          <w:rStyle w:val="17"/>
          <w:rFonts w:hint="eastAsia" w:ascii="宋体" w:hAnsi="宋体" w:eastAsia="宋体" w:cs="宋体"/>
          <w:b/>
          <w:color w:val="auto"/>
          <w:sz w:val="31"/>
          <w:szCs w:val="31"/>
          <w:highlight w:val="none"/>
          <w:u w:val="single"/>
        </w:rPr>
        <w:t>（填写“全称”）</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Style w:val="17"/>
          <w:rFonts w:hint="eastAsia" w:ascii="宋体" w:hAnsi="宋体" w:eastAsia="宋体" w:cs="宋体"/>
          <w:b/>
          <w:color w:val="auto"/>
          <w:sz w:val="31"/>
          <w:szCs w:val="31"/>
          <w:highlight w:val="none"/>
          <w:u w:val="single"/>
        </w:rPr>
        <w:t>（由投标人填写）</w:t>
      </w:r>
      <w:r>
        <w:rPr>
          <w:rStyle w:val="17"/>
          <w:rFonts w:hint="eastAsia" w:ascii="宋体" w:hAnsi="宋体" w:eastAsia="宋体" w:cs="宋体"/>
          <w:b/>
          <w:color w:val="auto"/>
          <w:sz w:val="31"/>
          <w:szCs w:val="31"/>
          <w:highlight w:val="none"/>
        </w:rPr>
        <w:t>年</w:t>
      </w:r>
      <w:r>
        <w:rPr>
          <w:rStyle w:val="17"/>
          <w:rFonts w:hint="eastAsia" w:ascii="宋体" w:hAnsi="宋体" w:eastAsia="宋体" w:cs="宋体"/>
          <w:b/>
          <w:color w:val="auto"/>
          <w:sz w:val="31"/>
          <w:szCs w:val="31"/>
          <w:highlight w:val="none"/>
          <w:u w:val="single"/>
        </w:rPr>
        <w:t>（由投标人填写）</w:t>
      </w:r>
      <w:r>
        <w:rPr>
          <w:rStyle w:val="17"/>
          <w:rFonts w:hint="eastAsia" w:ascii="宋体" w:hAnsi="宋体" w:eastAsia="宋体" w:cs="宋体"/>
          <w:b/>
          <w:color w:val="auto"/>
          <w:sz w:val="31"/>
          <w:szCs w:val="31"/>
          <w:highlight w:val="none"/>
        </w:rPr>
        <w:t>月</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39" w:name="_Toc30290"/>
      <w:r>
        <w:rPr>
          <w:rFonts w:hint="eastAsia" w:ascii="宋体" w:hAnsi="宋体" w:eastAsia="宋体" w:cs="宋体"/>
          <w:color w:val="auto"/>
          <w:sz w:val="21"/>
          <w:szCs w:val="21"/>
          <w:highlight w:val="none"/>
        </w:rPr>
        <w:br w:type="textWrapping"/>
      </w:r>
      <w:r>
        <w:rPr>
          <w:rStyle w:val="17"/>
          <w:rFonts w:hint="eastAsia" w:ascii="宋体" w:hAnsi="宋体" w:eastAsia="宋体" w:cs="宋体"/>
          <w:b/>
          <w:color w:val="auto"/>
          <w:sz w:val="28"/>
          <w:szCs w:val="28"/>
          <w:highlight w:val="none"/>
        </w:rPr>
        <w:t>索引</w:t>
      </w:r>
      <w:bookmarkEnd w:id="39"/>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40" w:name="_Toc2900"/>
      <w:r>
        <w:rPr>
          <w:rFonts w:hint="eastAsia" w:ascii="宋体" w:hAnsi="宋体" w:eastAsia="宋体" w:cs="宋体"/>
          <w:color w:val="auto"/>
          <w:sz w:val="28"/>
          <w:szCs w:val="28"/>
          <w:highlight w:val="none"/>
        </w:rPr>
        <w:t>一、标的说明一览表</w:t>
      </w:r>
      <w:bookmarkEnd w:id="40"/>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41" w:name="_Toc6270"/>
      <w:r>
        <w:rPr>
          <w:rFonts w:hint="eastAsia" w:ascii="宋体" w:hAnsi="宋体" w:eastAsia="宋体" w:cs="宋体"/>
          <w:color w:val="auto"/>
          <w:sz w:val="28"/>
          <w:szCs w:val="28"/>
          <w:highlight w:val="none"/>
        </w:rPr>
        <w:t>二、技术和服务要求响应表</w:t>
      </w:r>
      <w:bookmarkEnd w:id="41"/>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42" w:name="_Toc7522"/>
      <w:r>
        <w:rPr>
          <w:rFonts w:hint="eastAsia" w:ascii="宋体" w:hAnsi="宋体" w:eastAsia="宋体" w:cs="宋体"/>
          <w:color w:val="auto"/>
          <w:sz w:val="28"/>
          <w:szCs w:val="28"/>
          <w:highlight w:val="none"/>
        </w:rPr>
        <w:t>三、商务条件响应表</w:t>
      </w:r>
      <w:bookmarkEnd w:id="42"/>
    </w:p>
    <w:p>
      <w:pPr>
        <w:pStyle w:val="12"/>
        <w:keepNext w:val="0"/>
        <w:keepLines w:val="0"/>
        <w:widowControl/>
        <w:suppressLineNumbers w:val="0"/>
        <w:spacing w:before="0" w:beforeAutospacing="0" w:after="150" w:afterAutospacing="0"/>
        <w:ind w:left="0" w:right="0"/>
        <w:outlineLvl w:val="0"/>
        <w:rPr>
          <w:rFonts w:hint="eastAsia" w:ascii="宋体" w:hAnsi="宋体" w:eastAsia="宋体" w:cs="宋体"/>
          <w:color w:val="auto"/>
          <w:highlight w:val="none"/>
        </w:rPr>
      </w:pPr>
      <w:bookmarkStart w:id="43" w:name="_Toc5824"/>
      <w:r>
        <w:rPr>
          <w:rFonts w:hint="eastAsia" w:ascii="宋体" w:hAnsi="宋体" w:eastAsia="宋体" w:cs="宋体"/>
          <w:color w:val="auto"/>
          <w:sz w:val="28"/>
          <w:szCs w:val="28"/>
          <w:highlight w:val="none"/>
        </w:rPr>
        <w:t>四、投标人提交的其他资料（若有）</w:t>
      </w:r>
      <w:bookmarkEnd w:id="43"/>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44" w:name="_Toc10996"/>
      <w:r>
        <w:rPr>
          <w:rFonts w:hint="eastAsia" w:ascii="宋体" w:hAnsi="宋体" w:eastAsia="宋体" w:cs="宋体"/>
          <w:color w:val="auto"/>
          <w:sz w:val="21"/>
          <w:szCs w:val="21"/>
          <w:highlight w:val="none"/>
        </w:rPr>
        <w:t>★注意</w:t>
      </w:r>
      <w:bookmarkEnd w:id="44"/>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技术商务部分中不得出现报价部分的全部或部分的投标报价信息（或组成资料），否则</w:t>
      </w:r>
      <w:r>
        <w:rPr>
          <w:rStyle w:val="17"/>
          <w:rFonts w:hint="eastAsia" w:ascii="宋体" w:hAnsi="宋体" w:eastAsia="宋体" w:cs="宋体"/>
          <w:b/>
          <w:color w:val="auto"/>
          <w:sz w:val="21"/>
          <w:szCs w:val="21"/>
          <w:highlight w:val="none"/>
        </w:rPr>
        <w:t>符合性审查不合格</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45" w:name="_Toc25631"/>
      <w:r>
        <w:rPr>
          <w:rStyle w:val="17"/>
          <w:rFonts w:hint="eastAsia" w:ascii="宋体" w:hAnsi="宋体" w:eastAsia="宋体" w:cs="宋体"/>
          <w:b/>
          <w:color w:val="auto"/>
          <w:sz w:val="21"/>
          <w:szCs w:val="21"/>
          <w:highlight w:val="none"/>
        </w:rPr>
        <w:t>一、标的说明一览表</w:t>
      </w:r>
      <w:bookmarkEnd w:id="45"/>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tbl>
      <w:tblPr>
        <w:tblStyle w:val="15"/>
        <w:tblW w:w="85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8"/>
        <w:gridCol w:w="854"/>
        <w:gridCol w:w="1691"/>
        <w:gridCol w:w="853"/>
        <w:gridCol w:w="1138"/>
        <w:gridCol w:w="1138"/>
        <w:gridCol w:w="1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691"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投标标的</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规格</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来源地</w:t>
            </w:r>
          </w:p>
        </w:tc>
        <w:tc>
          <w:tcPr>
            <w:tcW w:w="188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69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69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69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1.1“合同包”、“品目号”、“投标标的”及“数量”应与招标文件《采购标的一览表》中的有关内容（“合同包”、“品目号”、“采购标的”及“数量”）保持一致。</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1.2“投标标的”为货物的：</w:t>
      </w:r>
      <w:r>
        <w:rPr>
          <w:rStyle w:val="17"/>
          <w:rFonts w:hint="eastAsia" w:ascii="宋体" w:hAnsi="宋体" w:eastAsia="宋体" w:cs="宋体"/>
          <w:b/>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17"/>
          <w:rFonts w:hint="eastAsia" w:ascii="宋体" w:hAnsi="宋体" w:eastAsia="宋体" w:cs="宋体"/>
          <w:b/>
          <w:color w:val="auto"/>
          <w:sz w:val="21"/>
          <w:szCs w:val="21"/>
          <w:highlight w:val="none"/>
        </w:rPr>
        <w:t>“来源地”</w:t>
      </w:r>
      <w:r>
        <w:rPr>
          <w:rFonts w:hint="eastAsia" w:ascii="宋体" w:hAnsi="宋体" w:eastAsia="宋体" w:cs="宋体"/>
          <w:color w:val="auto"/>
          <w:sz w:val="21"/>
          <w:szCs w:val="21"/>
          <w:highlight w:val="none"/>
        </w:rPr>
        <w:t>应填写货物的原产地。</w:t>
      </w:r>
      <w:r>
        <w:rPr>
          <w:rStyle w:val="17"/>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1.3“投标标的”为服务的：</w:t>
      </w:r>
      <w:r>
        <w:rPr>
          <w:rStyle w:val="17"/>
          <w:rFonts w:hint="eastAsia" w:ascii="宋体" w:hAnsi="宋体" w:eastAsia="宋体" w:cs="宋体"/>
          <w:b/>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17"/>
          <w:rFonts w:hint="eastAsia" w:ascii="宋体" w:hAnsi="宋体" w:eastAsia="宋体" w:cs="宋体"/>
          <w:b/>
          <w:color w:val="auto"/>
          <w:sz w:val="21"/>
          <w:szCs w:val="21"/>
          <w:highlight w:val="none"/>
        </w:rPr>
        <w:t>“来源地”</w:t>
      </w:r>
      <w:r>
        <w:rPr>
          <w:rFonts w:hint="eastAsia" w:ascii="宋体" w:hAnsi="宋体" w:eastAsia="宋体" w:cs="宋体"/>
          <w:color w:val="auto"/>
          <w:sz w:val="21"/>
          <w:szCs w:val="21"/>
          <w:highlight w:val="none"/>
        </w:rPr>
        <w:t>应填写服务提供者的所在地。</w:t>
      </w:r>
      <w:r>
        <w:rPr>
          <w:rStyle w:val="17"/>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项下应填写关于服务标准所涵盖的具体项目或内容的说明等。</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17"/>
          <w:rFonts w:hint="eastAsia" w:ascii="宋体" w:hAnsi="宋体" w:eastAsia="宋体" w:cs="宋体"/>
          <w:b/>
          <w:color w:val="auto"/>
          <w:sz w:val="21"/>
          <w:szCs w:val="21"/>
          <w:highlight w:val="none"/>
        </w:rPr>
        <w:t>投标无效</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3、投标文件中涉及</w:t>
      </w:r>
      <w:r>
        <w:rPr>
          <w:rStyle w:val="17"/>
          <w:rFonts w:hint="eastAsia" w:ascii="宋体" w:hAnsi="宋体" w:eastAsia="宋体" w:cs="宋体"/>
          <w:b/>
          <w:color w:val="auto"/>
          <w:sz w:val="21"/>
          <w:szCs w:val="21"/>
          <w:highlight w:val="none"/>
        </w:rPr>
        <w:t>“投标标的”、“数量”、“规格”、“来源地”</w:t>
      </w:r>
      <w:r>
        <w:rPr>
          <w:rFonts w:hint="eastAsia" w:ascii="宋体" w:hAnsi="宋体" w:eastAsia="宋体" w:cs="宋体"/>
          <w:color w:val="auto"/>
          <w:sz w:val="21"/>
          <w:szCs w:val="21"/>
          <w:highlight w:val="none"/>
        </w:rPr>
        <w:t>的内容若不一致，</w:t>
      </w:r>
      <w:r>
        <w:rPr>
          <w:rStyle w:val="17"/>
          <w:rFonts w:hint="eastAsia" w:ascii="宋体" w:hAnsi="宋体" w:eastAsia="宋体" w:cs="宋体"/>
          <w:b/>
          <w:color w:val="auto"/>
          <w:sz w:val="21"/>
          <w:szCs w:val="21"/>
          <w:highlight w:val="none"/>
        </w:rPr>
        <w:t>应以本表为准</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4、纸质投标文件正本中的本表应为原件。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Style w:val="17"/>
          <w:rFonts w:hint="eastAsia" w:ascii="宋体" w:hAnsi="宋体" w:eastAsia="宋体" w:cs="宋体"/>
          <w:b/>
          <w:color w:val="auto"/>
          <w:sz w:val="21"/>
          <w:szCs w:val="21"/>
          <w:highlight w:val="none"/>
        </w:rPr>
      </w:pPr>
      <w:r>
        <w:rPr>
          <w:rStyle w:val="17"/>
          <w:rFonts w:hint="eastAsia" w:ascii="宋体" w:hAnsi="宋体" w:eastAsia="宋体" w:cs="宋体"/>
          <w:b/>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46" w:name="_Toc13116"/>
      <w:r>
        <w:rPr>
          <w:rStyle w:val="17"/>
          <w:rFonts w:hint="eastAsia" w:ascii="宋体" w:hAnsi="宋体" w:eastAsia="宋体" w:cs="宋体"/>
          <w:b/>
          <w:color w:val="auto"/>
          <w:sz w:val="21"/>
          <w:szCs w:val="21"/>
          <w:highlight w:val="none"/>
        </w:rPr>
        <w:t>二、技术和服务要求响应表</w:t>
      </w:r>
      <w:bookmarkEnd w:id="46"/>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tbl>
      <w:tblPr>
        <w:tblStyle w:val="1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1.1“技术和服务要求”项下填写的内容应与招标文件第五章“技术和服务要求”的内容保持一致。</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另页应答，否则</w:t>
      </w:r>
      <w:r>
        <w:rPr>
          <w:rStyle w:val="17"/>
          <w:rFonts w:hint="eastAsia" w:ascii="宋体" w:hAnsi="宋体" w:eastAsia="宋体" w:cs="宋体"/>
          <w:b/>
          <w:color w:val="auto"/>
          <w:sz w:val="21"/>
          <w:szCs w:val="21"/>
          <w:highlight w:val="none"/>
        </w:rPr>
        <w:t>投标无效</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3、纸质投标文件正本中的本表应为原件。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47" w:name="_Toc571"/>
      <w:r>
        <w:rPr>
          <w:rStyle w:val="17"/>
          <w:rFonts w:hint="eastAsia" w:ascii="宋体" w:hAnsi="宋体" w:eastAsia="宋体" w:cs="宋体"/>
          <w:b/>
          <w:color w:val="auto"/>
          <w:sz w:val="21"/>
          <w:szCs w:val="21"/>
          <w:highlight w:val="none"/>
        </w:rPr>
        <w:t>三、商务条件响应表</w:t>
      </w:r>
      <w:bookmarkEnd w:id="47"/>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lang w:eastAsia="zh-CN"/>
        </w:rPr>
        <w:t xml:space="preserve">                   </w:t>
      </w:r>
    </w:p>
    <w:tbl>
      <w:tblPr>
        <w:tblStyle w:val="1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24"/>
                <w:szCs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highlight w:val="none"/>
              </w:rPr>
            </w:pPr>
          </w:p>
        </w:tc>
      </w:tr>
    </w:tbl>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1.1“商务条件”项下填写的内容应与招标文件第五章“商务条件”的内容保持一致。</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1.2“投标响应”项下应填写具体的响应内容并与“商务条件”项下填写的内容逐项对应；对“商务条件”项下涉及“≥或＞”、“≤或＜”及某个区间值范围内的内容，应填写具体的数值。</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17"/>
          <w:rFonts w:hint="eastAsia" w:ascii="宋体" w:hAnsi="宋体" w:eastAsia="宋体" w:cs="宋体"/>
          <w:b/>
          <w:color w:val="auto"/>
          <w:sz w:val="21"/>
          <w:szCs w:val="21"/>
          <w:highlight w:val="none"/>
        </w:rPr>
        <w:t>投标无效</w:t>
      </w:r>
      <w:r>
        <w:rPr>
          <w:rFonts w:hint="eastAsia" w:ascii="宋体" w:hAnsi="宋体" w:eastAsia="宋体" w:cs="宋体"/>
          <w:color w:val="auto"/>
          <w:sz w:val="21"/>
          <w:szCs w:val="21"/>
          <w:highlight w:val="none"/>
        </w:rPr>
        <w:t>。</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3、纸质投标文件正本中的本表应为原件。</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rPr>
        <w:t>日</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pStyle w:val="12"/>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48" w:name="_Toc7077"/>
      <w:r>
        <w:rPr>
          <w:rStyle w:val="17"/>
          <w:rFonts w:hint="eastAsia" w:ascii="宋体" w:hAnsi="宋体" w:eastAsia="宋体" w:cs="宋体"/>
          <w:b/>
          <w:color w:val="auto"/>
          <w:sz w:val="21"/>
          <w:szCs w:val="21"/>
          <w:highlight w:val="none"/>
        </w:rPr>
        <w:t>四、投标人提交的其他资料（若有）</w:t>
      </w:r>
      <w:bookmarkEnd w:id="48"/>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jc w:val="center"/>
        <w:outlineLvl w:val="0"/>
        <w:rPr>
          <w:rFonts w:hint="eastAsia" w:ascii="宋体" w:hAnsi="宋体" w:eastAsia="宋体" w:cs="宋体"/>
          <w:color w:val="auto"/>
          <w:highlight w:val="none"/>
        </w:rPr>
      </w:pPr>
      <w:bookmarkStart w:id="49" w:name="_Toc18913"/>
      <w:r>
        <w:rPr>
          <w:rFonts w:hint="eastAsia" w:ascii="宋体" w:hAnsi="宋体" w:eastAsia="宋体" w:cs="宋体"/>
          <w:color w:val="auto"/>
          <w:sz w:val="21"/>
          <w:szCs w:val="21"/>
          <w:highlight w:val="none"/>
        </w:rPr>
        <w:t>编制说明</w:t>
      </w:r>
      <w:bookmarkEnd w:id="49"/>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1、招标文件要求提交的除</w:t>
      </w:r>
      <w:r>
        <w:rPr>
          <w:rStyle w:val="17"/>
          <w:rFonts w:hint="eastAsia" w:ascii="宋体" w:hAnsi="宋体" w:eastAsia="宋体" w:cs="宋体"/>
          <w:b/>
          <w:color w:val="auto"/>
          <w:sz w:val="21"/>
          <w:szCs w:val="21"/>
          <w:highlight w:val="none"/>
        </w:rPr>
        <w:t>“资格及资信证明部分”、“报价部分”</w:t>
      </w:r>
      <w:r>
        <w:rPr>
          <w:rFonts w:hint="eastAsia" w:ascii="宋体" w:hAnsi="宋体" w:eastAsia="宋体" w:cs="宋体"/>
          <w:color w:val="auto"/>
          <w:sz w:val="21"/>
          <w:szCs w:val="21"/>
          <w:highlight w:val="none"/>
        </w:rPr>
        <w:t>外的其他证明材料或资料加盖投标人的单位公章后应在此项下提交。</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2、招标文件要求投标人提供方案（包括但不限于：组织、实施、技术、服务方案等）的，投标人应在此项下提交。</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rPr>
        <w:t>3、除招标文件另有规定外，投标人认为需要提交的其他证明材料或资料加盖投标人的单位公章后应在此项下提交。</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0" w:beforeAutospacing="0" w:after="150" w:afterAutospacing="0"/>
        <w:ind w:left="0" w:right="0"/>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 xml:space="preserve">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spacing w:val="0"/>
          <w:sz w:val="21"/>
          <w:szCs w:val="21"/>
          <w:highlight w:val="none"/>
          <w:lang w:eastAsia="zh-CN"/>
        </w:rPr>
        <w:t xml:space="preserve"> </w:t>
      </w:r>
    </w:p>
    <w:p>
      <w:pPr>
        <w:pStyle w:val="5"/>
        <w:keepNext w:val="0"/>
        <w:keepLines w:val="0"/>
        <w:widowControl/>
        <w:suppressLineNumbers w:val="0"/>
        <w:shd w:val="clear" w:fill="FFFFFF"/>
        <w:spacing w:before="300" w:beforeAutospacing="0" w:after="150" w:afterAutospacing="0" w:line="17" w:lineRule="atLeast"/>
        <w:ind w:left="0" w:firstLine="0"/>
        <w:outlineLvl w:val="0"/>
        <w:rPr>
          <w:rFonts w:hint="eastAsia" w:ascii="宋体" w:hAnsi="宋体" w:eastAsia="宋体" w:cs="宋体"/>
          <w:b w:val="0"/>
          <w:i w:val="0"/>
          <w:caps w:val="0"/>
          <w:color w:val="auto"/>
          <w:spacing w:val="0"/>
          <w:sz w:val="33"/>
          <w:szCs w:val="33"/>
          <w:highlight w:val="none"/>
        </w:rPr>
      </w:pPr>
      <w:r>
        <w:rPr>
          <w:rFonts w:hint="eastAsia" w:ascii="宋体" w:hAnsi="宋体" w:eastAsia="宋体" w:cs="宋体"/>
          <w:b w:val="0"/>
          <w:i w:val="0"/>
          <w:caps w:val="0"/>
          <w:color w:val="auto"/>
          <w:spacing w:val="0"/>
          <w:sz w:val="33"/>
          <w:szCs w:val="33"/>
          <w:highlight w:val="none"/>
          <w:shd w:val="clear" w:fill="FFFFFF"/>
        </w:rPr>
        <w:t>采购文件相关附件</w:t>
      </w:r>
    </w:p>
    <w:p>
      <w:pPr>
        <w:rPr>
          <w:rFonts w:hint="eastAsia" w:ascii="宋体" w:hAnsi="宋体" w:eastAsia="宋体" w:cs="宋体"/>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87E3C"/>
    <w:multiLevelType w:val="multilevel"/>
    <w:tmpl w:val="01387E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EE3630"/>
    <w:multiLevelType w:val="multilevel"/>
    <w:tmpl w:val="1BEE36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A20A93"/>
    <w:multiLevelType w:val="singleLevel"/>
    <w:tmpl w:val="27A20A93"/>
    <w:lvl w:ilvl="0" w:tentative="0">
      <w:start w:val="1"/>
      <w:numFmt w:val="decimal"/>
      <w:suff w:val="nothing"/>
      <w:lvlText w:val="（%1）"/>
      <w:lvlJc w:val="left"/>
    </w:lvl>
  </w:abstractNum>
  <w:abstractNum w:abstractNumId="3">
    <w:nsid w:val="3C595ACA"/>
    <w:multiLevelType w:val="multilevel"/>
    <w:tmpl w:val="3C595ACA"/>
    <w:lvl w:ilvl="0" w:tentative="0">
      <w:start w:val="1"/>
      <w:numFmt w:val="decimalEnclosedCircle"/>
      <w:lvlText w:val="%1"/>
      <w:lvlJc w:val="left"/>
      <w:pPr>
        <w:ind w:left="1044" w:hanging="420"/>
      </w:pPr>
      <w:rPr>
        <w:rFonts w:hint="default"/>
        <w:b w:val="0"/>
      </w:rPr>
    </w:lvl>
    <w:lvl w:ilvl="1" w:tentative="0">
      <w:start w:val="1"/>
      <w:numFmt w:val="decimal"/>
      <w:lvlText w:val="%2、"/>
      <w:lvlJc w:val="left"/>
      <w:pPr>
        <w:ind w:left="1404" w:hanging="360"/>
      </w:pPr>
      <w:rPr>
        <w:rFonts w:hint="default"/>
      </w:r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4">
    <w:nsid w:val="50691C0E"/>
    <w:multiLevelType w:val="multilevel"/>
    <w:tmpl w:val="50691C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1BADF65"/>
    <w:multiLevelType w:val="singleLevel"/>
    <w:tmpl w:val="51BADF65"/>
    <w:lvl w:ilvl="0" w:tentative="0">
      <w:start w:val="1"/>
      <w:numFmt w:val="decimal"/>
      <w:suff w:val="nothing"/>
      <w:lvlText w:val="%1、"/>
      <w:lvlJc w:val="left"/>
    </w:lvl>
  </w:abstractNum>
  <w:abstractNum w:abstractNumId="6">
    <w:nsid w:val="5A385A4C"/>
    <w:multiLevelType w:val="multilevel"/>
    <w:tmpl w:val="5A385A4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A6E8C9D"/>
    <w:multiLevelType w:val="singleLevel"/>
    <w:tmpl w:val="5A6E8C9D"/>
    <w:lvl w:ilvl="0" w:tentative="0">
      <w:start w:val="1"/>
      <w:numFmt w:val="decimal"/>
      <w:suff w:val="nothing"/>
      <w:lvlText w:val="%1、"/>
      <w:lvlJc w:val="left"/>
    </w:lvl>
  </w:abstractNum>
  <w:abstractNum w:abstractNumId="8">
    <w:nsid w:val="6114D57B"/>
    <w:multiLevelType w:val="singleLevel"/>
    <w:tmpl w:val="6114D57B"/>
    <w:lvl w:ilvl="0" w:tentative="0">
      <w:start w:val="3"/>
      <w:numFmt w:val="decimal"/>
      <w:suff w:val="nothing"/>
      <w:lvlText w:val="%1、"/>
      <w:lvlJc w:val="left"/>
    </w:lvl>
  </w:abstractNum>
  <w:num w:numId="1">
    <w:abstractNumId w:val="5"/>
  </w:num>
  <w:num w:numId="2">
    <w:abstractNumId w:val="2"/>
  </w:num>
  <w:num w:numId="3">
    <w:abstractNumId w:val="0"/>
  </w:num>
  <w:num w:numId="4">
    <w:abstractNumId w:val="1"/>
  </w:num>
  <w:num w:numId="5">
    <w:abstractNumId w:val="8"/>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740B4"/>
    <w:rsid w:val="03B34F7A"/>
    <w:rsid w:val="0A87373B"/>
    <w:rsid w:val="0CA156AA"/>
    <w:rsid w:val="0D5F43F5"/>
    <w:rsid w:val="0DD32EBC"/>
    <w:rsid w:val="113B5311"/>
    <w:rsid w:val="1282778C"/>
    <w:rsid w:val="147F5660"/>
    <w:rsid w:val="15EA6C08"/>
    <w:rsid w:val="182D55C3"/>
    <w:rsid w:val="19E217E9"/>
    <w:rsid w:val="1A45314B"/>
    <w:rsid w:val="1BB51181"/>
    <w:rsid w:val="1C8F0112"/>
    <w:rsid w:val="1CEB1DF2"/>
    <w:rsid w:val="1D8E0685"/>
    <w:rsid w:val="1DC036DE"/>
    <w:rsid w:val="21F50748"/>
    <w:rsid w:val="240C3B4A"/>
    <w:rsid w:val="2A0609F7"/>
    <w:rsid w:val="2E2C0522"/>
    <w:rsid w:val="2E653DC2"/>
    <w:rsid w:val="34BF6F91"/>
    <w:rsid w:val="373D50AD"/>
    <w:rsid w:val="379F64C1"/>
    <w:rsid w:val="39BB7C1B"/>
    <w:rsid w:val="3A8744D7"/>
    <w:rsid w:val="3E68088A"/>
    <w:rsid w:val="3F3B5245"/>
    <w:rsid w:val="3F691D3F"/>
    <w:rsid w:val="425C0251"/>
    <w:rsid w:val="432842F8"/>
    <w:rsid w:val="43890F5B"/>
    <w:rsid w:val="451A5733"/>
    <w:rsid w:val="4DF62DFA"/>
    <w:rsid w:val="4E5F36B7"/>
    <w:rsid w:val="4E6D08ED"/>
    <w:rsid w:val="4EFF6C2D"/>
    <w:rsid w:val="52C36031"/>
    <w:rsid w:val="53E37AC3"/>
    <w:rsid w:val="58615FB4"/>
    <w:rsid w:val="5A427C66"/>
    <w:rsid w:val="5AAD5010"/>
    <w:rsid w:val="5ADF6F6E"/>
    <w:rsid w:val="60086A49"/>
    <w:rsid w:val="60DC2905"/>
    <w:rsid w:val="62552F26"/>
    <w:rsid w:val="62A0526E"/>
    <w:rsid w:val="66532B00"/>
    <w:rsid w:val="68345C79"/>
    <w:rsid w:val="6A7A63E5"/>
    <w:rsid w:val="6C64242B"/>
    <w:rsid w:val="6DBD0942"/>
    <w:rsid w:val="714927A0"/>
    <w:rsid w:val="75822D76"/>
    <w:rsid w:val="79834EB8"/>
    <w:rsid w:val="7DEA0ABC"/>
    <w:rsid w:val="7DF31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sz w:val="21"/>
    </w:rPr>
  </w:style>
  <w:style w:type="paragraph" w:styleId="3">
    <w:name w:val="Body Text"/>
    <w:basedOn w:val="1"/>
    <w:qFormat/>
    <w:uiPriority w:val="0"/>
    <w:pPr>
      <w:spacing w:line="380" w:lineRule="exact"/>
    </w:pPr>
    <w:rPr>
      <w:sz w:val="24"/>
    </w:rPr>
  </w:style>
  <w:style w:type="paragraph" w:styleId="6">
    <w:name w:val="Normal Indent"/>
    <w:basedOn w:val="1"/>
    <w:next w:val="1"/>
    <w:qFormat/>
    <w:uiPriority w:val="0"/>
    <w:pPr>
      <w:ind w:firstLine="420"/>
    </w:pPr>
    <w:rPr>
      <w:kern w:val="2"/>
      <w:sz w:val="21"/>
    </w:rPr>
  </w:style>
  <w:style w:type="paragraph" w:styleId="7">
    <w:name w:val="annotation text"/>
    <w:basedOn w:val="1"/>
    <w:qFormat/>
    <w:uiPriority w:val="0"/>
    <w:pPr>
      <w:jc w:val="left"/>
    </w:pPr>
  </w:style>
  <w:style w:type="paragraph" w:styleId="8">
    <w:name w:val="Body Text Indent"/>
    <w:basedOn w:val="1"/>
    <w:next w:val="9"/>
    <w:unhideWhenUsed/>
    <w:qFormat/>
    <w:uiPriority w:val="0"/>
    <w:pPr>
      <w:spacing w:after="120"/>
      <w:ind w:left="420" w:leftChars="200"/>
    </w:pPr>
  </w:style>
  <w:style w:type="paragraph" w:styleId="9">
    <w:name w:val="toc 1"/>
    <w:basedOn w:val="1"/>
    <w:next w:val="1"/>
    <w:qFormat/>
    <w:uiPriority w:val="39"/>
    <w:pPr>
      <w:widowControl/>
      <w:spacing w:after="100" w:line="259" w:lineRule="auto"/>
      <w:jc w:val="left"/>
    </w:pPr>
    <w:rPr>
      <w:rFonts w:ascii="Calibri" w:hAnsi="Calibri" w:eastAsia="宋体"/>
      <w:kern w:val="0"/>
      <w:sz w:val="22"/>
      <w:szCs w:val="2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next w:val="14"/>
    <w:qFormat/>
    <w:uiPriority w:val="99"/>
    <w:pPr>
      <w:tabs>
        <w:tab w:val="left" w:pos="0"/>
        <w:tab w:val="left" w:pos="993"/>
        <w:tab w:val="left" w:pos="1134"/>
      </w:tabs>
      <w:ind w:firstLine="420"/>
    </w:pPr>
    <w:rPr>
      <w:rFonts w:ascii="Times New Roman" w:hAnsi="Times New Roman" w:cs="Times New Roman"/>
    </w:rPr>
  </w:style>
  <w:style w:type="paragraph" w:customStyle="1" w:styleId="14">
    <w:name w:val="样式 标题 3 + (中文) 黑体 小四 非加粗 段前: 7.8 磅 段后: 0 磅 行距: 固定值 20 磅"/>
    <w:basedOn w:val="5"/>
    <w:qFormat/>
    <w:uiPriority w:val="0"/>
    <w:pPr>
      <w:tabs>
        <w:tab w:val="left" w:pos="425"/>
      </w:tabs>
      <w:spacing w:line="400" w:lineRule="exact"/>
    </w:pPr>
    <w:rPr>
      <w:rFonts w:eastAsia="黑体" w:cs="宋体"/>
      <w:b w:val="0"/>
      <w:kern w:val="2"/>
      <w:sz w:val="24"/>
      <w:szCs w:val="20"/>
    </w:rPr>
  </w:style>
  <w:style w:type="character" w:styleId="17">
    <w:name w:val="Strong"/>
    <w:basedOn w:val="16"/>
    <w:qFormat/>
    <w:uiPriority w:val="0"/>
    <w:rPr>
      <w:b/>
    </w:rPr>
  </w:style>
  <w:style w:type="character" w:customStyle="1" w:styleId="18">
    <w:name w:val="active"/>
    <w:basedOn w:val="16"/>
    <w:qFormat/>
    <w:uiPriority w:val="0"/>
    <w:rPr>
      <w:shd w:val="clear" w:fill="EC3535"/>
    </w:rPr>
  </w:style>
  <w:style w:type="character" w:customStyle="1" w:styleId="19">
    <w:name w:val="正文文本 (2)_"/>
    <w:basedOn w:val="16"/>
    <w:link w:val="20"/>
    <w:qFormat/>
    <w:uiPriority w:val="0"/>
    <w:rPr>
      <w:rFonts w:ascii="MingLiU" w:eastAsia="MingLiU"/>
      <w:kern w:val="0"/>
      <w:sz w:val="12"/>
      <w:szCs w:val="12"/>
    </w:rPr>
  </w:style>
  <w:style w:type="paragraph" w:customStyle="1" w:styleId="20">
    <w:name w:val="正文文本 (2)1"/>
    <w:basedOn w:val="1"/>
    <w:link w:val="19"/>
    <w:qFormat/>
    <w:uiPriority w:val="0"/>
    <w:pPr>
      <w:shd w:val="clear" w:color="auto" w:fill="FFFFFF"/>
      <w:spacing w:line="184" w:lineRule="exact"/>
      <w:ind w:hanging="460"/>
      <w:jc w:val="distribute"/>
    </w:pPr>
    <w:rPr>
      <w:rFonts w:ascii="MingLiU" w:eastAsia="MingLiU"/>
      <w:kern w:val="0"/>
      <w:sz w:val="12"/>
      <w:szCs w:val="12"/>
    </w:rPr>
  </w:style>
  <w:style w:type="character" w:customStyle="1" w:styleId="21">
    <w:name w:val="font41"/>
    <w:basedOn w:val="16"/>
    <w:qFormat/>
    <w:uiPriority w:val="0"/>
    <w:rPr>
      <w:rFonts w:hint="eastAsia" w:ascii="宋体" w:hAnsi="宋体" w:eastAsia="宋体" w:cs="宋体"/>
      <w:color w:val="000000"/>
      <w:sz w:val="20"/>
      <w:szCs w:val="20"/>
      <w:u w:val="none"/>
    </w:rPr>
  </w:style>
  <w:style w:type="character" w:customStyle="1" w:styleId="22">
    <w:name w:val="font31"/>
    <w:basedOn w:val="16"/>
    <w:qFormat/>
    <w:uiPriority w:val="0"/>
    <w:rPr>
      <w:rFonts w:hint="eastAsia" w:ascii="宋体" w:hAnsi="宋体" w:eastAsia="宋体" w:cs="宋体"/>
      <w:color w:val="FF0000"/>
      <w:sz w:val="20"/>
      <w:szCs w:val="20"/>
      <w:u w:val="non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LT</dc:creator>
  <cp:lastModifiedBy>四姐姐</cp:lastModifiedBy>
  <dcterms:modified xsi:type="dcterms:W3CDTF">2021-09-26T08:11:07Z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945F1BABAF734F6DB42399E92E8D1560</vt:lpwstr>
  </property>
</Properties>
</file>